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FFD6" w14:textId="29C48114" w:rsidR="00AF5C23" w:rsidRPr="003E2563" w:rsidRDefault="006E5E2D" w:rsidP="00C22BFE">
      <w:pPr>
        <w:spacing w:after="240"/>
        <w:jc w:val="both"/>
        <w:rPr>
          <w:rFonts w:ascii="Book Antiqua" w:hAnsi="Book Antiqua"/>
          <w:b/>
          <w:bCs/>
          <w:sz w:val="22"/>
          <w:szCs w:val="22"/>
          <w:lang w:val="es-MX"/>
        </w:rPr>
      </w:pPr>
      <w:r w:rsidRPr="003E2563">
        <w:rPr>
          <w:rFonts w:ascii="Book Antiqua" w:hAnsi="Book Antiqua"/>
          <w:b/>
          <w:bCs/>
          <w:sz w:val="22"/>
          <w:szCs w:val="22"/>
          <w:lang w:val="es-MX"/>
        </w:rPr>
        <w:t>CONVENIO DE CESIÓN (EL “</w:t>
      </w:r>
      <w:r w:rsidRPr="003E2563">
        <w:rPr>
          <w:rFonts w:ascii="Book Antiqua" w:hAnsi="Book Antiqua"/>
          <w:b/>
          <w:bCs/>
          <w:sz w:val="22"/>
          <w:szCs w:val="22"/>
          <w:u w:val="single"/>
          <w:lang w:val="es-MX"/>
        </w:rPr>
        <w:t>CONVENIO</w:t>
      </w:r>
      <w:r w:rsidRPr="003E2563">
        <w:rPr>
          <w:rFonts w:ascii="Book Antiqua" w:hAnsi="Book Antiqua"/>
          <w:b/>
          <w:bCs/>
          <w:sz w:val="22"/>
          <w:szCs w:val="22"/>
          <w:lang w:val="es-MX"/>
        </w:rPr>
        <w:t xml:space="preserve">”), DE FECHA </w:t>
      </w:r>
      <w:permStart w:id="1776181110" w:edGrp="everyone"/>
      <w:commentRangeStart w:id="0"/>
      <w:r w:rsidR="00BC0564" w:rsidRPr="003E2563">
        <w:rPr>
          <w:rFonts w:ascii="Book Antiqua" w:hAnsi="Book Antiqua"/>
          <w:b/>
          <w:bCs/>
          <w:sz w:val="22"/>
          <w:szCs w:val="22"/>
          <w:lang w:val="es-MX"/>
        </w:rPr>
        <w:t>[•]</w:t>
      </w:r>
      <w:commentRangeEnd w:id="0"/>
      <w:r w:rsidR="003337F9">
        <w:rPr>
          <w:rStyle w:val="CommentReference"/>
        </w:rPr>
        <w:commentReference w:id="0"/>
      </w:r>
      <w:permEnd w:id="1776181110"/>
      <w:r w:rsidR="00BC0564" w:rsidRPr="003E2563">
        <w:rPr>
          <w:rFonts w:ascii="Book Antiqua" w:hAnsi="Book Antiqua"/>
          <w:b/>
          <w:bCs/>
          <w:sz w:val="22"/>
          <w:szCs w:val="22"/>
          <w:lang w:val="es-MX"/>
        </w:rPr>
        <w:t xml:space="preserve"> </w:t>
      </w:r>
      <w:r w:rsidR="0069704A" w:rsidRPr="003E2563">
        <w:rPr>
          <w:rFonts w:ascii="Book Antiqua" w:hAnsi="Book Antiqua"/>
          <w:b/>
          <w:bCs/>
          <w:sz w:val="22"/>
          <w:szCs w:val="22"/>
          <w:lang w:val="es-MX"/>
        </w:rPr>
        <w:t xml:space="preserve">DE </w:t>
      </w:r>
      <w:r w:rsidR="00613E83">
        <w:rPr>
          <w:rFonts w:ascii="Book Antiqua" w:hAnsi="Book Antiqua"/>
          <w:b/>
          <w:bCs/>
          <w:sz w:val="22"/>
          <w:szCs w:val="22"/>
          <w:lang w:val="es-MX"/>
        </w:rPr>
        <w:t>MARZO</w:t>
      </w:r>
      <w:r w:rsidR="00BC0564" w:rsidRPr="003E2563">
        <w:rPr>
          <w:rFonts w:ascii="Book Antiqua" w:hAnsi="Book Antiqua"/>
          <w:b/>
          <w:bCs/>
          <w:sz w:val="22"/>
          <w:szCs w:val="22"/>
          <w:lang w:val="es-MX"/>
        </w:rPr>
        <w:t xml:space="preserve"> </w:t>
      </w:r>
      <w:r w:rsidRPr="003E2563">
        <w:rPr>
          <w:rFonts w:ascii="Book Antiqua" w:hAnsi="Book Antiqua"/>
          <w:b/>
          <w:bCs/>
          <w:sz w:val="22"/>
          <w:szCs w:val="22"/>
          <w:lang w:val="es-MX"/>
        </w:rPr>
        <w:t xml:space="preserve">DE </w:t>
      </w:r>
      <w:r w:rsidR="00D85356" w:rsidRPr="003E2563">
        <w:rPr>
          <w:rFonts w:ascii="Book Antiqua" w:hAnsi="Book Antiqua"/>
          <w:b/>
          <w:bCs/>
          <w:sz w:val="22"/>
          <w:szCs w:val="22"/>
          <w:lang w:val="es-MX"/>
        </w:rPr>
        <w:t>2026</w:t>
      </w:r>
      <w:r w:rsidRPr="003E2563">
        <w:rPr>
          <w:rFonts w:ascii="Book Antiqua" w:hAnsi="Book Antiqua"/>
          <w:b/>
          <w:bCs/>
          <w:sz w:val="22"/>
          <w:szCs w:val="22"/>
          <w:lang w:val="es-MX"/>
        </w:rPr>
        <w:t xml:space="preserve">, QUE CELEBRAN POR UNA PARTE </w:t>
      </w:r>
      <w:bookmarkStart w:id="1" w:name="_Hlk17919836"/>
      <w:bookmarkStart w:id="2" w:name="_Hlk17929053"/>
      <w:r w:rsidR="00407F41" w:rsidRPr="00407F41">
        <w:rPr>
          <w:rFonts w:ascii="Book Antiqua" w:hAnsi="Book Antiqua"/>
          <w:b/>
          <w:sz w:val="22"/>
          <w:szCs w:val="22"/>
          <w:lang w:val="es-MX"/>
        </w:rPr>
        <w:t>BANCO ACTINVER, S.A., INSTITUCIÓN DE BANCA MÚLTIPLE, GRUPO FINANCIERO ACTINVER, DIVISIÓN FIDUCIARIA, EN SU CARÁCTER DE FIDUCIARIO DEL CONTRATO DE FIDEICOMISO IRREVOCABLE IDENTIFICADO CON EL NÚMERO 1721</w:t>
      </w:r>
      <w:r w:rsidR="00C479DB" w:rsidRPr="003E2563">
        <w:rPr>
          <w:rFonts w:ascii="Book Antiqua" w:hAnsi="Book Antiqua"/>
          <w:b/>
          <w:sz w:val="22"/>
          <w:szCs w:val="22"/>
          <w:lang w:val="es-MX"/>
        </w:rPr>
        <w:t xml:space="preserve"> </w:t>
      </w:r>
      <w:r w:rsidR="00BC0564" w:rsidRPr="003E2563">
        <w:rPr>
          <w:rFonts w:ascii="Book Antiqua" w:hAnsi="Book Antiqua"/>
          <w:b/>
          <w:sz w:val="22"/>
          <w:szCs w:val="22"/>
          <w:lang w:val="es-MX"/>
        </w:rPr>
        <w:t>(“</w:t>
      </w:r>
      <w:r w:rsidR="00642DD4" w:rsidRPr="00EE75BB">
        <w:rPr>
          <w:rFonts w:ascii="Book Antiqua" w:hAnsi="Book Antiqua"/>
          <w:b/>
          <w:sz w:val="22"/>
          <w:szCs w:val="22"/>
          <w:u w:val="single"/>
          <w:lang w:val="es-MX"/>
        </w:rPr>
        <w:t xml:space="preserve">FIBRA </w:t>
      </w:r>
      <w:r w:rsidR="00407F41">
        <w:rPr>
          <w:rFonts w:ascii="Book Antiqua" w:hAnsi="Book Antiqua"/>
          <w:b/>
          <w:sz w:val="22"/>
          <w:szCs w:val="22"/>
          <w:u w:val="single"/>
          <w:lang w:val="es-MX"/>
        </w:rPr>
        <w:t>PROLOGIS</w:t>
      </w:r>
      <w:r w:rsidR="00BC0564" w:rsidRPr="003E2563">
        <w:rPr>
          <w:rFonts w:ascii="Book Antiqua" w:hAnsi="Book Antiqua"/>
          <w:b/>
          <w:sz w:val="22"/>
          <w:szCs w:val="22"/>
          <w:lang w:val="es-MX"/>
        </w:rPr>
        <w:t>”)</w:t>
      </w:r>
      <w:bookmarkEnd w:id="1"/>
      <w:r w:rsidRPr="003E2563">
        <w:rPr>
          <w:rFonts w:ascii="Book Antiqua" w:hAnsi="Book Antiqua"/>
          <w:b/>
          <w:bCs/>
          <w:sz w:val="22"/>
          <w:szCs w:val="22"/>
          <w:lang w:val="es-MX"/>
        </w:rPr>
        <w:t xml:space="preserve">, COMO </w:t>
      </w:r>
      <w:r w:rsidR="00642DD4">
        <w:rPr>
          <w:rFonts w:ascii="Book Antiqua" w:hAnsi="Book Antiqua"/>
          <w:b/>
          <w:bCs/>
          <w:sz w:val="22"/>
          <w:szCs w:val="22"/>
          <w:lang w:val="es-MX"/>
        </w:rPr>
        <w:t>CESIONARIO</w:t>
      </w:r>
      <w:r w:rsidR="00525319">
        <w:rPr>
          <w:rFonts w:ascii="Book Antiqua" w:hAnsi="Book Antiqua"/>
          <w:b/>
          <w:bCs/>
          <w:sz w:val="22"/>
          <w:szCs w:val="22"/>
          <w:lang w:val="es-MX"/>
        </w:rPr>
        <w:t xml:space="preserve"> (EL “</w:t>
      </w:r>
      <w:r w:rsidR="00525319" w:rsidRPr="00525319">
        <w:rPr>
          <w:rFonts w:ascii="Book Antiqua" w:hAnsi="Book Antiqua"/>
          <w:b/>
          <w:bCs/>
          <w:sz w:val="22"/>
          <w:szCs w:val="22"/>
          <w:u w:val="single"/>
          <w:lang w:val="es-MX"/>
        </w:rPr>
        <w:t>CESIONARIO</w:t>
      </w:r>
      <w:r w:rsidR="00525319">
        <w:rPr>
          <w:rFonts w:ascii="Book Antiqua" w:hAnsi="Book Antiqua"/>
          <w:b/>
          <w:bCs/>
          <w:sz w:val="22"/>
          <w:szCs w:val="22"/>
          <w:lang w:val="es-MX"/>
        </w:rPr>
        <w:t>”)</w:t>
      </w:r>
      <w:r w:rsidRPr="003E2563">
        <w:rPr>
          <w:rFonts w:ascii="Book Antiqua" w:hAnsi="Book Antiqua"/>
          <w:b/>
          <w:bCs/>
          <w:sz w:val="22"/>
          <w:szCs w:val="22"/>
          <w:lang w:val="es-MX"/>
        </w:rPr>
        <w:t xml:space="preserve">, Y POR LA OTRA PARTE </w:t>
      </w:r>
      <w:permStart w:id="586301598" w:edGrp="everyone"/>
      <w:commentRangeStart w:id="3"/>
      <w:r w:rsidR="00407F41">
        <w:rPr>
          <w:rFonts w:ascii="Book Antiqua" w:hAnsi="Book Antiqua"/>
          <w:b/>
          <w:bCs/>
          <w:sz w:val="22"/>
          <w:szCs w:val="22"/>
          <w:lang w:val="es-MX"/>
        </w:rPr>
        <w:t>[</w:t>
      </w:r>
      <w:r w:rsidR="00CB16A5" w:rsidRPr="00525319">
        <w:rPr>
          <w:rFonts w:ascii="Book Antiqua" w:hAnsi="Book Antiqua"/>
          <w:b/>
          <w:bCs/>
          <w:sz w:val="22"/>
          <w:szCs w:val="22"/>
          <w:highlight w:val="lightGray"/>
          <w:lang w:val="es-MX"/>
        </w:rPr>
        <w:t>NOMBRE DEL TENEDOR</w:t>
      </w:r>
      <w:commentRangeEnd w:id="3"/>
      <w:r w:rsidR="003337F9">
        <w:rPr>
          <w:rStyle w:val="CommentReference"/>
        </w:rPr>
        <w:commentReference w:id="3"/>
      </w:r>
      <w:r w:rsidR="00407F41">
        <w:rPr>
          <w:rFonts w:ascii="Book Antiqua" w:hAnsi="Book Antiqua"/>
          <w:b/>
          <w:bCs/>
          <w:sz w:val="22"/>
          <w:szCs w:val="22"/>
          <w:lang w:val="es-MX"/>
        </w:rPr>
        <w:t>]</w:t>
      </w:r>
      <w:permEnd w:id="586301598"/>
      <w:r w:rsidRPr="003E2563">
        <w:rPr>
          <w:rFonts w:ascii="Book Antiqua" w:hAnsi="Book Antiqua"/>
          <w:b/>
          <w:bCs/>
          <w:sz w:val="22"/>
          <w:szCs w:val="22"/>
          <w:lang w:val="es-MX"/>
        </w:rPr>
        <w:t xml:space="preserve"> (“</w:t>
      </w:r>
      <w:r w:rsidR="00642DD4">
        <w:rPr>
          <w:rFonts w:ascii="Book Antiqua" w:hAnsi="Book Antiqua"/>
          <w:b/>
          <w:bCs/>
          <w:sz w:val="22"/>
          <w:szCs w:val="22"/>
          <w:u w:val="single"/>
          <w:lang w:val="es-MX"/>
        </w:rPr>
        <w:t>TENEDOR</w:t>
      </w:r>
      <w:r w:rsidRPr="003E2563">
        <w:rPr>
          <w:rFonts w:ascii="Book Antiqua" w:hAnsi="Book Antiqua"/>
          <w:b/>
          <w:bCs/>
          <w:sz w:val="22"/>
          <w:szCs w:val="22"/>
          <w:lang w:val="es-MX"/>
        </w:rPr>
        <w:t xml:space="preserve">”), COMO </w:t>
      </w:r>
      <w:r w:rsidR="00B91B94">
        <w:rPr>
          <w:rFonts w:ascii="Book Antiqua" w:hAnsi="Book Antiqua"/>
          <w:b/>
          <w:bCs/>
          <w:sz w:val="22"/>
          <w:szCs w:val="22"/>
          <w:lang w:val="es-MX"/>
        </w:rPr>
        <w:t>CEDENTE</w:t>
      </w:r>
      <w:r w:rsidR="00525319">
        <w:rPr>
          <w:rFonts w:ascii="Book Antiqua" w:hAnsi="Book Antiqua"/>
          <w:b/>
          <w:bCs/>
          <w:sz w:val="22"/>
          <w:szCs w:val="22"/>
          <w:lang w:val="es-MX"/>
        </w:rPr>
        <w:t xml:space="preserve"> (EL “</w:t>
      </w:r>
      <w:r w:rsidR="00525319">
        <w:rPr>
          <w:rFonts w:ascii="Book Antiqua" w:hAnsi="Book Antiqua"/>
          <w:b/>
          <w:bCs/>
          <w:sz w:val="22"/>
          <w:szCs w:val="22"/>
          <w:u w:val="single"/>
          <w:lang w:val="es-MX"/>
        </w:rPr>
        <w:t>CEDENTE</w:t>
      </w:r>
      <w:r w:rsidR="00525319">
        <w:rPr>
          <w:rFonts w:ascii="Book Antiqua" w:hAnsi="Book Antiqua"/>
          <w:b/>
          <w:bCs/>
          <w:sz w:val="22"/>
          <w:szCs w:val="22"/>
          <w:lang w:val="es-MX"/>
        </w:rPr>
        <w:t>”)</w:t>
      </w:r>
      <w:r w:rsidRPr="003E2563">
        <w:rPr>
          <w:rFonts w:ascii="Book Antiqua" w:hAnsi="Book Antiqua"/>
          <w:b/>
          <w:bCs/>
          <w:sz w:val="22"/>
          <w:szCs w:val="22"/>
          <w:lang w:val="es-MX"/>
        </w:rPr>
        <w:t>,</w:t>
      </w:r>
      <w:bookmarkEnd w:id="2"/>
      <w:r w:rsidRPr="003E2563">
        <w:rPr>
          <w:rFonts w:ascii="Book Antiqua" w:hAnsi="Book Antiqua"/>
          <w:b/>
          <w:bCs/>
          <w:sz w:val="22"/>
          <w:szCs w:val="22"/>
          <w:lang w:val="es-MX"/>
        </w:rPr>
        <w:t xml:space="preserve"> </w:t>
      </w:r>
      <w:r w:rsidR="00AF5C23" w:rsidRPr="003E2563">
        <w:rPr>
          <w:rFonts w:ascii="Book Antiqua" w:hAnsi="Book Antiqua"/>
          <w:b/>
          <w:bCs/>
          <w:sz w:val="22"/>
          <w:szCs w:val="22"/>
          <w:lang w:val="es-MX"/>
        </w:rPr>
        <w:t xml:space="preserve">AL TENOR DE LOS SIGUIENTES ANTECEDENTES, DECLARACIONES Y CLÁUSULAS:  </w:t>
      </w:r>
    </w:p>
    <w:p w14:paraId="064F806C" w14:textId="77777777" w:rsidR="00AF5C23" w:rsidRPr="003E2563" w:rsidRDefault="00AF5C23" w:rsidP="00C22BFE">
      <w:pPr>
        <w:spacing w:after="240"/>
        <w:jc w:val="center"/>
        <w:rPr>
          <w:rFonts w:ascii="Book Antiqua" w:hAnsi="Book Antiqua"/>
          <w:b/>
          <w:bCs/>
          <w:sz w:val="22"/>
          <w:szCs w:val="22"/>
          <w:lang w:val="es-MX"/>
        </w:rPr>
      </w:pPr>
      <w:r w:rsidRPr="003E2563">
        <w:rPr>
          <w:rFonts w:ascii="Book Antiqua" w:hAnsi="Book Antiqua"/>
          <w:b/>
          <w:bCs/>
          <w:sz w:val="22"/>
          <w:szCs w:val="22"/>
          <w:lang w:val="es-MX"/>
        </w:rPr>
        <w:t>ANTECEDENTES</w:t>
      </w:r>
    </w:p>
    <w:p w14:paraId="32FE743F" w14:textId="77777777" w:rsidR="00642DD4" w:rsidRPr="00EE75BB"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t xml:space="preserve">Con fecha </w:t>
      </w:r>
      <w:r w:rsidRPr="00EE75BB">
        <w:rPr>
          <w:rFonts w:ascii="Book Antiqua" w:eastAsia="Calibri" w:hAnsi="Book Antiqua"/>
          <w:sz w:val="22"/>
          <w:szCs w:val="22"/>
        </w:rPr>
        <w:t xml:space="preserve">9 de abril de 2024, la asamblea ordinaria anual de tenedores de Fibra Prologis, aprobó, entre otros asuntos, llevar a cabo una o varias ofertas públicas de adquisición y suscripción recíproca por hasta el 100% (cien por ciento) de los certificados bursátiles fiduciarios inmobiliarios </w:t>
      </w:r>
      <w:r w:rsidRPr="00EE75BB">
        <w:rPr>
          <w:rFonts w:ascii="Book Antiqua" w:hAnsi="Book Antiqua"/>
          <w:sz w:val="22"/>
          <w:szCs w:val="22"/>
        </w:rPr>
        <w:t>en circulación con clave de pizarra “TERRA 13”</w:t>
      </w:r>
      <w:r w:rsidRPr="00EE75BB">
        <w:rPr>
          <w:rFonts w:ascii="Book Antiqua" w:eastAsia="Calibri" w:hAnsi="Book Antiqua"/>
          <w:sz w:val="22"/>
          <w:szCs w:val="22"/>
        </w:rPr>
        <w:t xml:space="preserve"> (“</w:t>
      </w:r>
      <w:proofErr w:type="spellStart"/>
      <w:r w:rsidRPr="00EE75BB">
        <w:rPr>
          <w:rFonts w:ascii="Book Antiqua" w:eastAsia="Calibri" w:hAnsi="Book Antiqua"/>
          <w:sz w:val="22"/>
          <w:szCs w:val="22"/>
          <w:u w:val="single"/>
        </w:rPr>
        <w:t>CBFIs</w:t>
      </w:r>
      <w:proofErr w:type="spellEnd"/>
      <w:r w:rsidRPr="00EE75BB">
        <w:rPr>
          <w:rFonts w:ascii="Book Antiqua" w:eastAsia="Calibri" w:hAnsi="Book Antiqua"/>
          <w:sz w:val="22"/>
          <w:szCs w:val="22"/>
          <w:u w:val="single"/>
        </w:rPr>
        <w:t xml:space="preserve"> de </w:t>
      </w:r>
      <w:proofErr w:type="spellStart"/>
      <w:r w:rsidRPr="00EE75BB">
        <w:rPr>
          <w:rFonts w:ascii="Book Antiqua" w:eastAsia="Calibri" w:hAnsi="Book Antiqua"/>
          <w:sz w:val="22"/>
          <w:szCs w:val="22"/>
          <w:u w:val="single"/>
        </w:rPr>
        <w:t>Terrafina</w:t>
      </w:r>
      <w:proofErr w:type="spellEnd"/>
      <w:r w:rsidRPr="00EE75BB">
        <w:rPr>
          <w:rFonts w:ascii="Book Antiqua" w:eastAsia="Calibri" w:hAnsi="Book Antiqua"/>
          <w:sz w:val="22"/>
          <w:szCs w:val="22"/>
        </w:rPr>
        <w:t>”) e</w:t>
      </w:r>
      <w:r w:rsidRPr="00EE75BB">
        <w:rPr>
          <w:rFonts w:ascii="Book Antiqua" w:hAnsi="Book Antiqua"/>
          <w:sz w:val="22"/>
          <w:szCs w:val="22"/>
        </w:rPr>
        <w:t>mitidos por Banco Actinver, S.A., Institución de Banca Múltiple, Grupo Financiero Actinver, División Fiduciaria, en su carácter de Fiduciario del Contrato de Fideicomiso identificado con el número 6274 (el “</w:t>
      </w:r>
      <w:r w:rsidRPr="00EE75BB">
        <w:rPr>
          <w:rFonts w:ascii="Book Antiqua" w:hAnsi="Book Antiqua"/>
          <w:sz w:val="22"/>
          <w:szCs w:val="22"/>
          <w:u w:val="single"/>
        </w:rPr>
        <w:t xml:space="preserve">Contrato de Fideicomiso </w:t>
      </w:r>
      <w:proofErr w:type="spellStart"/>
      <w:r w:rsidRPr="00EE75BB">
        <w:rPr>
          <w:rFonts w:ascii="Book Antiqua" w:hAnsi="Book Antiqua"/>
          <w:sz w:val="22"/>
          <w:szCs w:val="22"/>
          <w:u w:val="single"/>
        </w:rPr>
        <w:t>Terrafina</w:t>
      </w:r>
      <w:proofErr w:type="spellEnd"/>
      <w:r w:rsidRPr="00EE75BB">
        <w:rPr>
          <w:rFonts w:ascii="Book Antiqua" w:hAnsi="Book Antiqua"/>
          <w:sz w:val="22"/>
          <w:szCs w:val="22"/>
        </w:rPr>
        <w:t xml:space="preserve">”, y el fideicomiso creado conforme al Contrato de Fideicomiso </w:t>
      </w:r>
      <w:proofErr w:type="spellStart"/>
      <w:r w:rsidRPr="00EE75BB">
        <w:rPr>
          <w:rFonts w:ascii="Book Antiqua" w:hAnsi="Book Antiqua"/>
          <w:sz w:val="22"/>
          <w:szCs w:val="22"/>
        </w:rPr>
        <w:t>Terrafina</w:t>
      </w:r>
      <w:proofErr w:type="spellEnd"/>
      <w:r w:rsidRPr="00EE75BB">
        <w:rPr>
          <w:rFonts w:ascii="Book Antiqua" w:hAnsi="Book Antiqua"/>
          <w:sz w:val="22"/>
          <w:szCs w:val="22"/>
        </w:rPr>
        <w:t>, “</w:t>
      </w:r>
      <w:proofErr w:type="spellStart"/>
      <w:r w:rsidRPr="00EE75BB">
        <w:rPr>
          <w:rFonts w:ascii="Book Antiqua" w:hAnsi="Book Antiqua"/>
          <w:sz w:val="22"/>
          <w:szCs w:val="22"/>
          <w:u w:val="single"/>
        </w:rPr>
        <w:t>Terrafina</w:t>
      </w:r>
      <w:proofErr w:type="spellEnd"/>
      <w:r w:rsidRPr="00EE75BB">
        <w:rPr>
          <w:rFonts w:ascii="Book Antiqua" w:hAnsi="Book Antiqua"/>
          <w:sz w:val="22"/>
          <w:szCs w:val="22"/>
        </w:rPr>
        <w:t xml:space="preserve">”), </w:t>
      </w:r>
      <w:r w:rsidRPr="00EE75BB">
        <w:rPr>
          <w:rFonts w:ascii="Book Antiqua" w:eastAsia="Calibri" w:hAnsi="Book Antiqua"/>
          <w:sz w:val="22"/>
          <w:szCs w:val="22"/>
        </w:rPr>
        <w:t xml:space="preserve">a cambio de Certificados Bursátiles emitidos por Fibra Prologis, con el objeto de que Fibra Prologis adquiriera hasta el 100% (cien por ciento) de los </w:t>
      </w:r>
      <w:proofErr w:type="spellStart"/>
      <w:r w:rsidRPr="00EE75BB">
        <w:rPr>
          <w:rFonts w:ascii="Book Antiqua" w:eastAsia="Calibri" w:hAnsi="Book Antiqua"/>
          <w:sz w:val="22"/>
          <w:szCs w:val="22"/>
        </w:rPr>
        <w:t>CBFIs</w:t>
      </w:r>
      <w:proofErr w:type="spellEnd"/>
      <w:r w:rsidRPr="00EE75BB">
        <w:rPr>
          <w:rFonts w:ascii="Book Antiqua" w:eastAsia="Calibri" w:hAnsi="Book Antiqua"/>
          <w:sz w:val="22"/>
          <w:szCs w:val="22"/>
        </w:rPr>
        <w:t xml:space="preserve"> de </w:t>
      </w:r>
      <w:proofErr w:type="spellStart"/>
      <w:r w:rsidRPr="00EE75BB">
        <w:rPr>
          <w:rFonts w:ascii="Book Antiqua" w:eastAsia="Calibri" w:hAnsi="Book Antiqua"/>
          <w:sz w:val="22"/>
          <w:szCs w:val="22"/>
        </w:rPr>
        <w:t>Terrafina</w:t>
      </w:r>
      <w:proofErr w:type="spellEnd"/>
      <w:r w:rsidRPr="00EE75BB">
        <w:rPr>
          <w:rFonts w:ascii="Book Antiqua" w:eastAsia="Calibri" w:hAnsi="Book Antiqua"/>
          <w:sz w:val="22"/>
          <w:szCs w:val="22"/>
        </w:rPr>
        <w:t>.</w:t>
      </w:r>
    </w:p>
    <w:p w14:paraId="66BE5386" w14:textId="77777777" w:rsidR="00642DD4" w:rsidRPr="00EE75BB"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t xml:space="preserve">Con fecha 17 de mayo de 2024 </w:t>
      </w:r>
      <w:r w:rsidR="00043C72">
        <w:rPr>
          <w:rFonts w:ascii="Book Antiqua" w:hAnsi="Book Antiqua"/>
          <w:sz w:val="22"/>
          <w:szCs w:val="22"/>
        </w:rPr>
        <w:t>Fibra Prologis</w:t>
      </w:r>
      <w:r w:rsidRPr="00EE75BB">
        <w:rPr>
          <w:rFonts w:ascii="Book Antiqua" w:hAnsi="Book Antiqua"/>
          <w:sz w:val="22"/>
          <w:szCs w:val="22"/>
        </w:rPr>
        <w:t xml:space="preserve"> inició una </w:t>
      </w:r>
      <w:proofErr w:type="gramStart"/>
      <w:r w:rsidR="00726867">
        <w:rPr>
          <w:rFonts w:ascii="Book Antiqua" w:hAnsi="Book Antiqua"/>
          <w:sz w:val="22"/>
          <w:szCs w:val="22"/>
        </w:rPr>
        <w:t xml:space="preserve">primer </w:t>
      </w:r>
      <w:r w:rsidRPr="00EE75BB">
        <w:rPr>
          <w:rFonts w:ascii="Book Antiqua" w:hAnsi="Book Antiqua"/>
          <w:sz w:val="22"/>
          <w:szCs w:val="22"/>
        </w:rPr>
        <w:t>oferta pública</w:t>
      </w:r>
      <w:proofErr w:type="gramEnd"/>
      <w:r w:rsidRPr="00EE75BB">
        <w:rPr>
          <w:rFonts w:ascii="Book Antiqua" w:hAnsi="Book Antiqua"/>
          <w:sz w:val="22"/>
          <w:szCs w:val="22"/>
        </w:rPr>
        <w:t xml:space="preserve"> de adquisición por el 100% de los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la cual fue liquidada el 6 de agosto de 2024 (la “</w:t>
      </w:r>
      <w:r w:rsidRPr="00EE75BB">
        <w:rPr>
          <w:rFonts w:ascii="Book Antiqua" w:hAnsi="Book Antiqua"/>
          <w:sz w:val="22"/>
          <w:szCs w:val="22"/>
          <w:u w:val="single"/>
        </w:rPr>
        <w:t>Primera Oferta</w:t>
      </w:r>
      <w:r w:rsidRPr="00EE75BB">
        <w:rPr>
          <w:rFonts w:ascii="Book Antiqua" w:hAnsi="Book Antiqua"/>
          <w:sz w:val="22"/>
          <w:szCs w:val="22"/>
        </w:rPr>
        <w:t xml:space="preserve">”). Mediante la Primera Oferta </w:t>
      </w:r>
      <w:r w:rsidR="00043C72">
        <w:rPr>
          <w:rFonts w:ascii="Book Antiqua" w:hAnsi="Book Antiqua"/>
          <w:sz w:val="22"/>
          <w:szCs w:val="22"/>
        </w:rPr>
        <w:t>Fibra Prologis</w:t>
      </w:r>
      <w:r w:rsidRPr="00EE75BB">
        <w:rPr>
          <w:rFonts w:ascii="Book Antiqua" w:hAnsi="Book Antiqua"/>
          <w:sz w:val="22"/>
          <w:szCs w:val="22"/>
        </w:rPr>
        <w:t xml:space="preserve"> adquirió 606,417,404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que representaron el 77.13% del total de los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en circulación.</w:t>
      </w:r>
    </w:p>
    <w:p w14:paraId="2E973630" w14:textId="77777777" w:rsidR="00642DD4" w:rsidRPr="00EE75BB"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t xml:space="preserve">Con fecha 3 de octubre de 2024 </w:t>
      </w:r>
      <w:r w:rsidR="00043C72">
        <w:rPr>
          <w:rFonts w:ascii="Book Antiqua" w:hAnsi="Book Antiqua"/>
          <w:sz w:val="22"/>
          <w:szCs w:val="22"/>
        </w:rPr>
        <w:t>Fibra Prologis</w:t>
      </w:r>
      <w:r w:rsidRPr="00EE75BB">
        <w:rPr>
          <w:rFonts w:ascii="Book Antiqua" w:hAnsi="Book Antiqua"/>
          <w:sz w:val="22"/>
          <w:szCs w:val="22"/>
        </w:rPr>
        <w:t xml:space="preserve"> inició una </w:t>
      </w:r>
      <w:r w:rsidR="00726867">
        <w:rPr>
          <w:rFonts w:ascii="Book Antiqua" w:hAnsi="Book Antiqua"/>
          <w:sz w:val="22"/>
          <w:szCs w:val="22"/>
        </w:rPr>
        <w:t xml:space="preserve">segunda </w:t>
      </w:r>
      <w:r w:rsidRPr="00EE75BB">
        <w:rPr>
          <w:rFonts w:ascii="Book Antiqua" w:hAnsi="Book Antiqua"/>
          <w:sz w:val="22"/>
          <w:szCs w:val="22"/>
        </w:rPr>
        <w:t xml:space="preserve">oferta pública de adquisición por el 100% de los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la cual fue liquidada el 26 de noviembre de 2024 (la “</w:t>
      </w:r>
      <w:r w:rsidRPr="00EE75BB">
        <w:rPr>
          <w:rFonts w:ascii="Book Antiqua" w:hAnsi="Book Antiqua"/>
          <w:sz w:val="22"/>
          <w:szCs w:val="22"/>
          <w:u w:val="single"/>
        </w:rPr>
        <w:t>Segunda Oferta</w:t>
      </w:r>
      <w:r w:rsidRPr="00EE75BB">
        <w:rPr>
          <w:rFonts w:ascii="Book Antiqua" w:hAnsi="Book Antiqua"/>
          <w:sz w:val="22"/>
          <w:szCs w:val="22"/>
        </w:rPr>
        <w:t xml:space="preserve">”). Mediante la Segunda Oferta </w:t>
      </w:r>
      <w:r w:rsidR="00043C72">
        <w:rPr>
          <w:rFonts w:ascii="Book Antiqua" w:hAnsi="Book Antiqua"/>
          <w:sz w:val="22"/>
          <w:szCs w:val="22"/>
        </w:rPr>
        <w:t>Fibra Prologis</w:t>
      </w:r>
      <w:r w:rsidRPr="00EE75BB">
        <w:rPr>
          <w:rFonts w:ascii="Book Antiqua" w:hAnsi="Book Antiqua"/>
          <w:sz w:val="22"/>
          <w:szCs w:val="22"/>
        </w:rPr>
        <w:t xml:space="preserve"> adquirió 100,289,570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adicionales que representaron el 12.76% del total de los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en circulación.</w:t>
      </w:r>
    </w:p>
    <w:p w14:paraId="7A06A899" w14:textId="77777777" w:rsidR="00642DD4" w:rsidRPr="00EE75BB"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t xml:space="preserve">Durante los meses de marzo y abril de 2025 </w:t>
      </w:r>
      <w:r w:rsidR="00043C72">
        <w:rPr>
          <w:rFonts w:ascii="Book Antiqua" w:hAnsi="Book Antiqua"/>
          <w:sz w:val="22"/>
          <w:szCs w:val="22"/>
        </w:rPr>
        <w:t>Fibra Prologis</w:t>
      </w:r>
      <w:r w:rsidRPr="00EE75BB">
        <w:rPr>
          <w:rFonts w:ascii="Book Antiqua" w:hAnsi="Book Antiqua"/>
          <w:sz w:val="22"/>
          <w:szCs w:val="22"/>
        </w:rPr>
        <w:t xml:space="preserve"> adquirió en los mercados públicos un total de 1,017,427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adicionales que representaron el 0.13% del total de los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en circulación (la “</w:t>
      </w:r>
      <w:r w:rsidRPr="00EE75BB">
        <w:rPr>
          <w:rFonts w:ascii="Book Antiqua" w:hAnsi="Book Antiqua"/>
          <w:sz w:val="22"/>
          <w:szCs w:val="22"/>
          <w:u w:val="single"/>
        </w:rPr>
        <w:t>Adquisición</w:t>
      </w:r>
      <w:r w:rsidRPr="00EE75BB">
        <w:rPr>
          <w:rFonts w:ascii="Book Antiqua" w:hAnsi="Book Antiqua"/>
          <w:sz w:val="22"/>
          <w:szCs w:val="22"/>
        </w:rPr>
        <w:t>”).</w:t>
      </w:r>
    </w:p>
    <w:p w14:paraId="6C7EFBA0" w14:textId="77777777" w:rsidR="00642DD4" w:rsidRPr="00EE75BB"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t>Mediante la asamblea ordinaria anual de tenedores de fecha 13 de octubre de 2025</w:t>
      </w:r>
      <w:r w:rsidRPr="00EE75BB">
        <w:rPr>
          <w:rFonts w:ascii="Book Antiqua" w:eastAsia="Calibri" w:hAnsi="Book Antiqua"/>
          <w:iCs/>
          <w:sz w:val="22"/>
          <w:szCs w:val="22"/>
        </w:rPr>
        <w:t xml:space="preserve">, </w:t>
      </w:r>
      <w:r w:rsidRPr="00EE75BB">
        <w:rPr>
          <w:rFonts w:ascii="Book Antiqua" w:hAnsi="Book Antiqua"/>
          <w:sz w:val="22"/>
          <w:szCs w:val="22"/>
        </w:rPr>
        <w:t>los tenedores de Fibra Prologis, como oferente (en dicho carácter, “</w:t>
      </w:r>
      <w:r w:rsidRPr="00EE75BB">
        <w:rPr>
          <w:rFonts w:ascii="Book Antiqua" w:hAnsi="Book Antiqua"/>
          <w:sz w:val="22"/>
          <w:szCs w:val="22"/>
          <w:u w:val="single"/>
        </w:rPr>
        <w:t>el  Oferente</w:t>
      </w:r>
      <w:r w:rsidRPr="00EE75BB">
        <w:rPr>
          <w:rFonts w:ascii="Book Antiqua" w:hAnsi="Book Antiqua"/>
          <w:sz w:val="22"/>
          <w:szCs w:val="22"/>
        </w:rPr>
        <w:t xml:space="preserve">”) aprobaron, entre otras cosas ratificar y ampliar los acuerdos adoptados por los tenedores de Fibra Prologis mediante la asamblea ordinaria anual de tenedores de fecha 9 de abril de 2024, incluyendo sin limitar aquellos relacionados con llevar a cabo una o varias ofertas públicas de adquisición mediante suscripción recíproca y/o en efectivo y/o una combinación de éstas por hasta el 100% (cien por ciento) de los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w:t>
      </w:r>
    </w:p>
    <w:p w14:paraId="5E8827AD" w14:textId="77777777" w:rsidR="00642DD4" w:rsidRPr="00EE75BB"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t xml:space="preserve">Con fecha 15 de octubre de 2025 </w:t>
      </w:r>
      <w:r w:rsidR="00043C72">
        <w:rPr>
          <w:rFonts w:ascii="Book Antiqua" w:hAnsi="Book Antiqua"/>
          <w:sz w:val="22"/>
          <w:szCs w:val="22"/>
        </w:rPr>
        <w:t>Fibra Prologis</w:t>
      </w:r>
      <w:r w:rsidRPr="00EE75BB">
        <w:rPr>
          <w:rFonts w:ascii="Book Antiqua" w:hAnsi="Book Antiqua"/>
          <w:sz w:val="22"/>
          <w:szCs w:val="22"/>
        </w:rPr>
        <w:t xml:space="preserve"> llevó a cabo una tercera oferta pública de adquisición (la “</w:t>
      </w:r>
      <w:r w:rsidRPr="00EE75BB">
        <w:rPr>
          <w:rFonts w:ascii="Book Antiqua" w:hAnsi="Book Antiqua"/>
          <w:sz w:val="22"/>
          <w:szCs w:val="22"/>
          <w:u w:val="single"/>
        </w:rPr>
        <w:t>Oferta Final</w:t>
      </w:r>
      <w:r w:rsidRPr="00EE75BB">
        <w:rPr>
          <w:rFonts w:ascii="Book Antiqua" w:hAnsi="Book Antiqua"/>
          <w:sz w:val="22"/>
          <w:szCs w:val="22"/>
        </w:rPr>
        <w:t xml:space="preserve">” y, </w:t>
      </w:r>
      <w:proofErr w:type="gramStart"/>
      <w:r w:rsidRPr="00EE75BB">
        <w:rPr>
          <w:rFonts w:ascii="Book Antiqua" w:hAnsi="Book Antiqua"/>
          <w:sz w:val="22"/>
          <w:szCs w:val="22"/>
        </w:rPr>
        <w:t>conjuntamente con</w:t>
      </w:r>
      <w:proofErr w:type="gramEnd"/>
      <w:r w:rsidRPr="00EE75BB">
        <w:rPr>
          <w:rFonts w:ascii="Book Antiqua" w:hAnsi="Book Antiqua"/>
          <w:sz w:val="22"/>
          <w:szCs w:val="22"/>
        </w:rPr>
        <w:t xml:space="preserve"> la Primera Oferta, la Segunda Oferta y la Adquisición, las “</w:t>
      </w:r>
      <w:r w:rsidRPr="00EE75BB">
        <w:rPr>
          <w:rFonts w:ascii="Book Antiqua" w:hAnsi="Book Antiqua"/>
          <w:sz w:val="22"/>
          <w:szCs w:val="22"/>
          <w:u w:val="single"/>
        </w:rPr>
        <w:t>Ofertas</w:t>
      </w:r>
      <w:r w:rsidRPr="00EE75BB">
        <w:rPr>
          <w:rFonts w:ascii="Book Antiqua" w:hAnsi="Book Antiqua"/>
          <w:sz w:val="22"/>
          <w:szCs w:val="22"/>
        </w:rPr>
        <w:t xml:space="preserve">”) por el 100% de los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la cual fue autorizada mediante oficio de la CNBV número 153/1780/2025, de fecha 14 de octubre de 2025. </w:t>
      </w:r>
    </w:p>
    <w:p w14:paraId="2867101C" w14:textId="77777777" w:rsidR="00642DD4" w:rsidRPr="00EE75BB"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lastRenderedPageBreak/>
        <w:t xml:space="preserve">Como parte de la Oferta Final, la cual estuvo vigente del día </w:t>
      </w:r>
      <w:r w:rsidRPr="00EE75BB">
        <w:rPr>
          <w:rFonts w:ascii="Book Antiqua" w:eastAsia="Calibri" w:hAnsi="Book Antiqua"/>
          <w:sz w:val="22"/>
          <w:szCs w:val="22"/>
        </w:rPr>
        <w:t>15 de octubre de 2025</w:t>
      </w:r>
      <w:r w:rsidRPr="00EE75BB">
        <w:rPr>
          <w:rFonts w:ascii="Book Antiqua" w:hAnsi="Book Antiqua"/>
          <w:sz w:val="22"/>
          <w:szCs w:val="22"/>
        </w:rPr>
        <w:t xml:space="preserve"> al día </w:t>
      </w:r>
      <w:r w:rsidRPr="00EE75BB">
        <w:rPr>
          <w:rFonts w:ascii="Book Antiqua" w:eastAsia="Calibri" w:hAnsi="Book Antiqua"/>
          <w:sz w:val="22"/>
          <w:szCs w:val="22"/>
        </w:rPr>
        <w:t>12 de noviembre de 2025,</w:t>
      </w:r>
      <w:r w:rsidRPr="00EE75BB">
        <w:rPr>
          <w:rFonts w:ascii="Book Antiqua" w:hAnsi="Book Antiqua"/>
          <w:sz w:val="22"/>
          <w:szCs w:val="22"/>
        </w:rPr>
        <w:t xml:space="preserve"> y como resultado de la misma, </w:t>
      </w:r>
      <w:r w:rsidR="00043C72">
        <w:rPr>
          <w:rFonts w:ascii="Book Antiqua" w:hAnsi="Book Antiqua"/>
          <w:sz w:val="22"/>
          <w:szCs w:val="22"/>
        </w:rPr>
        <w:t>Fibra Prologis</w:t>
      </w:r>
      <w:r w:rsidRPr="00EE75BB">
        <w:rPr>
          <w:rFonts w:ascii="Book Antiqua" w:hAnsi="Book Antiqua"/>
          <w:sz w:val="22"/>
          <w:szCs w:val="22"/>
        </w:rPr>
        <w:t xml:space="preserve"> adquirió 77,093,907 (setenta y siete millones noventa y tres mil novecientos siete</w:t>
      </w:r>
      <w:r w:rsidRPr="00EE75BB" w:rsidDel="00303F7C">
        <w:rPr>
          <w:rFonts w:ascii="Book Antiqua" w:hAnsi="Book Antiqua"/>
          <w:sz w:val="22"/>
          <w:szCs w:val="22"/>
        </w:rPr>
        <w:t xml:space="preserve">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que representaron el 9.81% (nueve punto ochenta y uno por ciento) del total de los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en circulación a un precio de $42.50 (cuarenta y dos pesos 50/100 Moneda Nacional)  (el “</w:t>
      </w:r>
      <w:r w:rsidRPr="00EE75BB">
        <w:rPr>
          <w:rFonts w:ascii="Book Antiqua" w:hAnsi="Book Antiqua"/>
          <w:sz w:val="22"/>
          <w:szCs w:val="22"/>
          <w:u w:val="single"/>
        </w:rPr>
        <w:t>Precio por CBFI</w:t>
      </w:r>
      <w:r w:rsidRPr="00EE75BB">
        <w:rPr>
          <w:rFonts w:ascii="Book Antiqua" w:hAnsi="Book Antiqua"/>
          <w:sz w:val="22"/>
          <w:szCs w:val="22"/>
        </w:rPr>
        <w:t xml:space="preserve">”), </w:t>
      </w:r>
      <w:r w:rsidRPr="00EE75BB">
        <w:rPr>
          <w:rFonts w:ascii="Book Antiqua" w:eastAsia="Calibri" w:hAnsi="Book Antiqua"/>
          <w:sz w:val="22"/>
          <w:szCs w:val="22"/>
        </w:rPr>
        <w:t xml:space="preserve">los cuales, en conjunto con los </w:t>
      </w:r>
      <w:proofErr w:type="spellStart"/>
      <w:r w:rsidRPr="00EE75BB">
        <w:rPr>
          <w:rFonts w:ascii="Book Antiqua" w:eastAsia="Calibri" w:hAnsi="Book Antiqua"/>
          <w:sz w:val="22"/>
          <w:szCs w:val="22"/>
        </w:rPr>
        <w:t>CBFIs</w:t>
      </w:r>
      <w:proofErr w:type="spellEnd"/>
      <w:r w:rsidRPr="00EE75BB">
        <w:rPr>
          <w:rFonts w:ascii="Book Antiqua" w:eastAsia="Calibri" w:hAnsi="Book Antiqua"/>
          <w:sz w:val="22"/>
          <w:szCs w:val="22"/>
        </w:rPr>
        <w:t xml:space="preserve"> de </w:t>
      </w:r>
      <w:proofErr w:type="spellStart"/>
      <w:r w:rsidRPr="00EE75BB">
        <w:rPr>
          <w:rFonts w:ascii="Book Antiqua" w:eastAsia="Calibri" w:hAnsi="Book Antiqua"/>
          <w:sz w:val="22"/>
          <w:szCs w:val="22"/>
        </w:rPr>
        <w:t>Terrafina</w:t>
      </w:r>
      <w:proofErr w:type="spellEnd"/>
      <w:r w:rsidRPr="00EE75BB">
        <w:rPr>
          <w:rFonts w:ascii="Book Antiqua" w:eastAsia="Calibri" w:hAnsi="Book Antiqua"/>
          <w:sz w:val="22"/>
          <w:szCs w:val="22"/>
        </w:rPr>
        <w:t xml:space="preserve"> de los cuales </w:t>
      </w:r>
      <w:r w:rsidR="00043C72">
        <w:rPr>
          <w:rFonts w:ascii="Book Antiqua" w:eastAsia="Calibri" w:hAnsi="Book Antiqua"/>
          <w:sz w:val="22"/>
          <w:szCs w:val="22"/>
        </w:rPr>
        <w:t>Fibra Prologis</w:t>
      </w:r>
      <w:r w:rsidRPr="00EE75BB">
        <w:rPr>
          <w:rFonts w:ascii="Book Antiqua" w:eastAsia="Calibri" w:hAnsi="Book Antiqua"/>
          <w:sz w:val="22"/>
          <w:szCs w:val="22"/>
        </w:rPr>
        <w:t xml:space="preserve"> era titular con anterioridad a la Oferta, ascienden a un total de 786´262,285 ( setecientos ochenta y seis millones doscientos sesenta y dos mil doscientos ochenta y cinco) </w:t>
      </w:r>
      <w:proofErr w:type="spellStart"/>
      <w:r w:rsidRPr="00EE75BB">
        <w:rPr>
          <w:rFonts w:ascii="Book Antiqua" w:eastAsia="Calibri" w:hAnsi="Book Antiqua"/>
          <w:sz w:val="22"/>
          <w:szCs w:val="22"/>
        </w:rPr>
        <w:t>CBFIs</w:t>
      </w:r>
      <w:proofErr w:type="spellEnd"/>
      <w:r w:rsidRPr="00EE75BB">
        <w:rPr>
          <w:rFonts w:ascii="Book Antiqua" w:eastAsia="Calibri" w:hAnsi="Book Antiqua"/>
          <w:sz w:val="22"/>
          <w:szCs w:val="22"/>
        </w:rPr>
        <w:t xml:space="preserve"> de </w:t>
      </w:r>
      <w:proofErr w:type="spellStart"/>
      <w:r w:rsidRPr="00EE75BB">
        <w:rPr>
          <w:rFonts w:ascii="Book Antiqua" w:eastAsia="Calibri" w:hAnsi="Book Antiqua"/>
          <w:sz w:val="22"/>
          <w:szCs w:val="22"/>
        </w:rPr>
        <w:t>Terrafina</w:t>
      </w:r>
      <w:proofErr w:type="spellEnd"/>
      <w:r w:rsidRPr="00EE75BB">
        <w:rPr>
          <w:rFonts w:ascii="Book Antiqua" w:hAnsi="Book Antiqua"/>
          <w:sz w:val="22"/>
          <w:szCs w:val="22"/>
        </w:rPr>
        <w:t>, que representan el 99.82% (noventa y nueve punto ochenta y dos por ciento).</w:t>
      </w:r>
    </w:p>
    <w:p w14:paraId="14E1CA1B" w14:textId="77777777" w:rsidR="00642DD4" w:rsidRPr="00EE75BB"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t xml:space="preserve">Como consecuencia de las Ofertas, a la fecha del presente hay un remanente de 1´443,977 (un millón cuatrocientos cuarenta y tres mil novecientos setenta y siete) </w:t>
      </w:r>
      <w:proofErr w:type="spellStart"/>
      <w:r w:rsidRPr="00EE75BB">
        <w:rPr>
          <w:rFonts w:ascii="Book Antiqua" w:hAnsi="Book Antiqua"/>
          <w:sz w:val="22"/>
          <w:szCs w:val="22"/>
        </w:rPr>
        <w:t>CBFIs</w:t>
      </w:r>
      <w:proofErr w:type="spellEnd"/>
      <w:r w:rsidRPr="00EE75BB">
        <w:rPr>
          <w:rFonts w:ascii="Book Antiqua" w:hAnsi="Book Antiqua"/>
          <w:sz w:val="22"/>
          <w:szCs w:val="22"/>
        </w:rPr>
        <w:t xml:space="preserve">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que son propiedad del gran público inversionista, </w:t>
      </w:r>
      <w:proofErr w:type="gramStart"/>
      <w:r w:rsidRPr="00EE75BB">
        <w:rPr>
          <w:rFonts w:ascii="Book Antiqua" w:hAnsi="Book Antiqua"/>
          <w:sz w:val="22"/>
          <w:szCs w:val="22"/>
        </w:rPr>
        <w:t>y</w:t>
      </w:r>
      <w:proofErr w:type="gramEnd"/>
      <w:r w:rsidRPr="00EE75BB">
        <w:rPr>
          <w:rFonts w:ascii="Book Antiqua" w:hAnsi="Book Antiqua"/>
          <w:sz w:val="22"/>
          <w:szCs w:val="22"/>
        </w:rPr>
        <w:t xml:space="preserve"> por lo tanto, no son propiedad directa o indirectamente del Oferente (los “</w:t>
      </w:r>
      <w:proofErr w:type="spellStart"/>
      <w:r w:rsidRPr="00EE75BB">
        <w:rPr>
          <w:rFonts w:ascii="Book Antiqua" w:hAnsi="Book Antiqua"/>
          <w:sz w:val="22"/>
          <w:szCs w:val="22"/>
          <w:u w:val="single"/>
        </w:rPr>
        <w:t>CBFIs</w:t>
      </w:r>
      <w:proofErr w:type="spellEnd"/>
      <w:r w:rsidRPr="00EE75BB">
        <w:rPr>
          <w:rFonts w:ascii="Book Antiqua" w:hAnsi="Book Antiqua"/>
          <w:sz w:val="22"/>
          <w:szCs w:val="22"/>
          <w:u w:val="single"/>
        </w:rPr>
        <w:t xml:space="preserve"> Remanentes</w:t>
      </w:r>
      <w:r w:rsidRPr="00EE75BB">
        <w:rPr>
          <w:rFonts w:ascii="Book Antiqua" w:hAnsi="Book Antiqua"/>
          <w:sz w:val="22"/>
          <w:szCs w:val="22"/>
        </w:rPr>
        <w:t>”).</w:t>
      </w:r>
    </w:p>
    <w:p w14:paraId="35132FAC" w14:textId="77777777" w:rsidR="00642DD4" w:rsidRDefault="00642DD4" w:rsidP="00642DD4">
      <w:pPr>
        <w:numPr>
          <w:ilvl w:val="0"/>
          <w:numId w:val="26"/>
        </w:numPr>
        <w:spacing w:after="200"/>
        <w:jc w:val="both"/>
        <w:rPr>
          <w:rFonts w:ascii="Book Antiqua" w:hAnsi="Book Antiqua"/>
          <w:sz w:val="22"/>
          <w:szCs w:val="22"/>
        </w:rPr>
      </w:pPr>
      <w:r w:rsidRPr="00EE75BB">
        <w:rPr>
          <w:rFonts w:ascii="Book Antiqua" w:hAnsi="Book Antiqua"/>
          <w:sz w:val="22"/>
          <w:szCs w:val="22"/>
        </w:rPr>
        <w:t xml:space="preserve">Con fecha 1 de diciembre de 2025, la Asamblea de Tenedores de </w:t>
      </w:r>
      <w:proofErr w:type="spellStart"/>
      <w:r w:rsidRPr="00EE75BB">
        <w:rPr>
          <w:rFonts w:ascii="Book Antiqua" w:hAnsi="Book Antiqua"/>
          <w:sz w:val="22"/>
          <w:szCs w:val="22"/>
        </w:rPr>
        <w:t>Terrafina</w:t>
      </w:r>
      <w:proofErr w:type="spellEnd"/>
      <w:r w:rsidRPr="00EE75BB">
        <w:rPr>
          <w:rFonts w:ascii="Book Antiqua" w:hAnsi="Book Antiqua"/>
          <w:sz w:val="22"/>
          <w:szCs w:val="22"/>
        </w:rPr>
        <w:t xml:space="preserve">, aprobó </w:t>
      </w:r>
      <w:r w:rsidRPr="00EE75BB">
        <w:rPr>
          <w:rFonts w:ascii="Book Antiqua" w:eastAsia="Calibri" w:hAnsi="Book Antiqua"/>
          <w:sz w:val="22"/>
          <w:szCs w:val="22"/>
        </w:rPr>
        <w:t xml:space="preserve">la cancelación de la inscripción de los </w:t>
      </w:r>
      <w:proofErr w:type="spellStart"/>
      <w:r w:rsidRPr="00EE75BB">
        <w:rPr>
          <w:rFonts w:ascii="Book Antiqua" w:eastAsia="Calibri" w:hAnsi="Book Antiqua"/>
          <w:sz w:val="22"/>
          <w:szCs w:val="22"/>
        </w:rPr>
        <w:t>CBFIs</w:t>
      </w:r>
      <w:proofErr w:type="spellEnd"/>
      <w:r w:rsidRPr="00EE75BB">
        <w:rPr>
          <w:rFonts w:ascii="Book Antiqua" w:eastAsia="Calibri" w:hAnsi="Book Antiqua"/>
          <w:sz w:val="22"/>
          <w:szCs w:val="22"/>
        </w:rPr>
        <w:t xml:space="preserve"> de </w:t>
      </w:r>
      <w:proofErr w:type="spellStart"/>
      <w:r w:rsidRPr="00EE75BB">
        <w:rPr>
          <w:rFonts w:ascii="Book Antiqua" w:eastAsia="Calibri" w:hAnsi="Book Antiqua"/>
          <w:sz w:val="22"/>
          <w:szCs w:val="22"/>
        </w:rPr>
        <w:t>Terrafina</w:t>
      </w:r>
      <w:proofErr w:type="spellEnd"/>
      <w:r w:rsidRPr="00EE75BB">
        <w:rPr>
          <w:rFonts w:ascii="Book Antiqua" w:eastAsia="Calibri" w:hAnsi="Book Antiqua"/>
          <w:sz w:val="22"/>
          <w:szCs w:val="22"/>
        </w:rPr>
        <w:t xml:space="preserve"> en el Registro Nacional de Valores (“</w:t>
      </w:r>
      <w:r w:rsidRPr="00EE75BB">
        <w:rPr>
          <w:rFonts w:ascii="Book Antiqua" w:eastAsia="Calibri" w:hAnsi="Book Antiqua"/>
          <w:sz w:val="22"/>
          <w:szCs w:val="22"/>
          <w:u w:val="single"/>
        </w:rPr>
        <w:t>RNV</w:t>
      </w:r>
      <w:r w:rsidRPr="00EE75BB">
        <w:rPr>
          <w:rFonts w:ascii="Book Antiqua" w:eastAsia="Calibri" w:hAnsi="Book Antiqua"/>
          <w:sz w:val="22"/>
          <w:szCs w:val="22"/>
        </w:rPr>
        <w:t>”) y del listado de dichos valores en la BMV</w:t>
      </w:r>
      <w:r w:rsidRPr="00EE75BB">
        <w:rPr>
          <w:rFonts w:ascii="Book Antiqua" w:hAnsi="Book Antiqua"/>
          <w:sz w:val="22"/>
          <w:szCs w:val="22"/>
        </w:rPr>
        <w:t>.</w:t>
      </w:r>
    </w:p>
    <w:p w14:paraId="3C18A65D" w14:textId="77777777" w:rsidR="00642DD4" w:rsidRPr="00EE75BB" w:rsidRDefault="00642DD4" w:rsidP="00642DD4">
      <w:pPr>
        <w:numPr>
          <w:ilvl w:val="0"/>
          <w:numId w:val="26"/>
        </w:numPr>
        <w:spacing w:after="200"/>
        <w:jc w:val="both"/>
        <w:rPr>
          <w:rFonts w:ascii="Book Antiqua" w:hAnsi="Book Antiqua"/>
          <w:sz w:val="22"/>
          <w:szCs w:val="22"/>
        </w:rPr>
      </w:pPr>
      <w:r w:rsidRPr="00043C72">
        <w:rPr>
          <w:rFonts w:ascii="Book Antiqua" w:hAnsi="Book Antiqua"/>
          <w:sz w:val="22"/>
          <w:szCs w:val="22"/>
        </w:rPr>
        <w:t xml:space="preserve">Con fecha 16 de febrero de 2026, </w:t>
      </w:r>
      <w:r w:rsidR="00043C72" w:rsidRPr="00043C72">
        <w:rPr>
          <w:rFonts w:ascii="Book Antiqua" w:hAnsi="Book Antiqua"/>
          <w:sz w:val="22"/>
          <w:szCs w:val="22"/>
        </w:rPr>
        <w:t xml:space="preserve">se celebró </w:t>
      </w:r>
      <w:r w:rsidR="00043C72" w:rsidRPr="00EE75BB">
        <w:rPr>
          <w:rFonts w:ascii="Book Antiqua" w:hAnsi="Book Antiqua"/>
          <w:sz w:val="22"/>
          <w:szCs w:val="22"/>
        </w:rPr>
        <w:t>un contrato de fideicomiso irrevocable de administración entre Fibra Prologis como Fideicomitente y Fideicomisario y Banco Actinver, S.A., Institución de Banca Múltiple, Grupo Financiero Actinver, División Fiduciaria como fiduciario (el “</w:t>
      </w:r>
      <w:r w:rsidR="00043C72" w:rsidRPr="00EE75BB">
        <w:rPr>
          <w:rFonts w:ascii="Book Antiqua" w:hAnsi="Book Antiqua"/>
          <w:sz w:val="22"/>
          <w:szCs w:val="22"/>
          <w:u w:val="single"/>
        </w:rPr>
        <w:t xml:space="preserve">Fideicomiso de </w:t>
      </w:r>
      <w:proofErr w:type="spellStart"/>
      <w:r w:rsidR="00043C72" w:rsidRPr="00EE75BB">
        <w:rPr>
          <w:rFonts w:ascii="Book Antiqua" w:hAnsi="Book Antiqua"/>
          <w:sz w:val="22"/>
          <w:szCs w:val="22"/>
          <w:u w:val="single"/>
        </w:rPr>
        <w:t>Desliste</w:t>
      </w:r>
      <w:proofErr w:type="spellEnd"/>
      <w:r w:rsidR="00043C72" w:rsidRPr="00EE75BB">
        <w:rPr>
          <w:rFonts w:ascii="Book Antiqua" w:hAnsi="Book Antiqua"/>
          <w:sz w:val="22"/>
          <w:szCs w:val="22"/>
        </w:rPr>
        <w:t>”)</w:t>
      </w:r>
      <w:r w:rsidR="00726867">
        <w:rPr>
          <w:rFonts w:ascii="Book Antiqua" w:hAnsi="Book Antiqua"/>
          <w:sz w:val="22"/>
          <w:szCs w:val="22"/>
        </w:rPr>
        <w:t xml:space="preserve"> para que Fibra Prologis pueda adquirir, durante un plazo de 6 meses, los </w:t>
      </w:r>
      <w:proofErr w:type="spellStart"/>
      <w:r w:rsidR="00726867">
        <w:rPr>
          <w:rFonts w:ascii="Book Antiqua" w:hAnsi="Book Antiqua"/>
          <w:sz w:val="22"/>
          <w:szCs w:val="22"/>
        </w:rPr>
        <w:t>CBFIs</w:t>
      </w:r>
      <w:proofErr w:type="spellEnd"/>
      <w:r w:rsidR="00726867">
        <w:rPr>
          <w:rFonts w:ascii="Book Antiqua" w:hAnsi="Book Antiqua"/>
          <w:sz w:val="22"/>
          <w:szCs w:val="22"/>
        </w:rPr>
        <w:t xml:space="preserve"> Remanentes del gran público inversionista</w:t>
      </w:r>
      <w:r w:rsidR="00043C72" w:rsidRPr="00EE75BB">
        <w:rPr>
          <w:rFonts w:ascii="Book Antiqua" w:hAnsi="Book Antiqua"/>
          <w:sz w:val="22"/>
          <w:szCs w:val="22"/>
        </w:rPr>
        <w:t xml:space="preserve">. </w:t>
      </w:r>
    </w:p>
    <w:p w14:paraId="18B2FF33" w14:textId="77777777" w:rsidR="00C479DB" w:rsidRPr="00576BF4" w:rsidRDefault="00C479DB" w:rsidP="00EE75BB">
      <w:pPr>
        <w:spacing w:after="160"/>
        <w:ind w:left="567"/>
        <w:jc w:val="both"/>
        <w:rPr>
          <w:rFonts w:ascii="Book Antiqua" w:hAnsi="Book Antiqua"/>
          <w:sz w:val="22"/>
          <w:szCs w:val="22"/>
          <w:lang w:val="es-MX"/>
        </w:rPr>
      </w:pPr>
    </w:p>
    <w:p w14:paraId="25F510F6" w14:textId="77777777" w:rsidR="00AF5C23" w:rsidRPr="00576BF4" w:rsidRDefault="00AF5C23" w:rsidP="005F3E7A">
      <w:pPr>
        <w:spacing w:after="240"/>
        <w:jc w:val="center"/>
        <w:rPr>
          <w:rFonts w:ascii="Book Antiqua" w:hAnsi="Book Antiqua"/>
          <w:b/>
          <w:bCs/>
          <w:sz w:val="22"/>
          <w:szCs w:val="22"/>
          <w:lang w:val="es-MX"/>
        </w:rPr>
      </w:pPr>
      <w:r w:rsidRPr="00576BF4">
        <w:rPr>
          <w:rFonts w:ascii="Book Antiqua" w:hAnsi="Book Antiqua"/>
          <w:b/>
          <w:bCs/>
          <w:sz w:val="22"/>
          <w:szCs w:val="22"/>
          <w:lang w:val="es-MX"/>
        </w:rPr>
        <w:t>DECLARACIONES</w:t>
      </w:r>
    </w:p>
    <w:p w14:paraId="45986125" w14:textId="77777777" w:rsidR="00AF5C23" w:rsidRPr="00576BF4" w:rsidRDefault="00525319" w:rsidP="005F3E7A">
      <w:pPr>
        <w:numPr>
          <w:ilvl w:val="0"/>
          <w:numId w:val="23"/>
        </w:numPr>
        <w:spacing w:after="240"/>
        <w:ind w:left="709"/>
        <w:jc w:val="both"/>
        <w:rPr>
          <w:rFonts w:ascii="Book Antiqua" w:hAnsi="Book Antiqua"/>
          <w:sz w:val="22"/>
          <w:szCs w:val="22"/>
          <w:lang w:val="es-MX"/>
        </w:rPr>
      </w:pPr>
      <w:r>
        <w:rPr>
          <w:rFonts w:ascii="Book Antiqua" w:hAnsi="Book Antiqua"/>
          <w:bCs/>
          <w:sz w:val="22"/>
          <w:szCs w:val="22"/>
          <w:lang w:val="es-MX"/>
        </w:rPr>
        <w:t>El Cesionario</w:t>
      </w:r>
      <w:r w:rsidR="00043C72" w:rsidRPr="00576BF4">
        <w:rPr>
          <w:rFonts w:ascii="Book Antiqua" w:hAnsi="Book Antiqua"/>
          <w:sz w:val="22"/>
          <w:szCs w:val="22"/>
          <w:lang w:val="es-MX"/>
        </w:rPr>
        <w:t xml:space="preserve"> </w:t>
      </w:r>
      <w:r w:rsidR="00AF5C23" w:rsidRPr="00576BF4">
        <w:rPr>
          <w:rFonts w:ascii="Book Antiqua" w:hAnsi="Book Antiqua"/>
          <w:sz w:val="22"/>
          <w:szCs w:val="22"/>
          <w:lang w:val="es-MX"/>
        </w:rPr>
        <w:t xml:space="preserve">declara, a través de su </w:t>
      </w:r>
      <w:r w:rsidR="00043C72" w:rsidRPr="00EE75BB">
        <w:rPr>
          <w:rFonts w:ascii="Book Antiqua" w:hAnsi="Book Antiqua"/>
          <w:sz w:val="22"/>
          <w:szCs w:val="22"/>
          <w:lang w:val="es-MX"/>
        </w:rPr>
        <w:t>delegado fiduciario</w:t>
      </w:r>
      <w:r w:rsidR="00AF5C23" w:rsidRPr="00576BF4">
        <w:rPr>
          <w:rFonts w:ascii="Book Antiqua" w:hAnsi="Book Antiqua"/>
          <w:sz w:val="22"/>
          <w:szCs w:val="22"/>
          <w:lang w:val="es-MX"/>
        </w:rPr>
        <w:t>, que:</w:t>
      </w:r>
    </w:p>
    <w:p w14:paraId="01D38FA1" w14:textId="77777777" w:rsidR="00C479DB" w:rsidRPr="00576BF4" w:rsidRDefault="00043C72" w:rsidP="005F3E7A">
      <w:pPr>
        <w:pStyle w:val="ListParagraph"/>
        <w:numPr>
          <w:ilvl w:val="0"/>
          <w:numId w:val="27"/>
        </w:numPr>
        <w:spacing w:after="160"/>
        <w:ind w:left="1134" w:hanging="567"/>
        <w:jc w:val="both"/>
        <w:rPr>
          <w:rFonts w:ascii="Book Antiqua" w:hAnsi="Book Antiqua"/>
          <w:sz w:val="22"/>
          <w:szCs w:val="22"/>
          <w:lang w:val="es-MX"/>
        </w:rPr>
      </w:pPr>
      <w:r w:rsidRPr="00EE75BB">
        <w:rPr>
          <w:rFonts w:ascii="Book Antiqua" w:eastAsia="SimSun" w:hAnsi="Book Antiqua"/>
          <w:sz w:val="22"/>
          <w:szCs w:val="22"/>
        </w:rPr>
        <w:t>es una sociedad anónima, debidamente constituida y válidamente existente conforme a las leyes de México y está debidamente autorizada por la Secretaría de Hacienda y Crédito Público para operar como una institución de banca múltiple y para prestar servicios fiduciarios</w:t>
      </w:r>
      <w:r w:rsidR="00C479DB" w:rsidRPr="00576BF4">
        <w:rPr>
          <w:rFonts w:ascii="Book Antiqua" w:hAnsi="Book Antiqua"/>
          <w:sz w:val="22"/>
          <w:szCs w:val="22"/>
          <w:lang w:val="es-MX"/>
        </w:rPr>
        <w:t xml:space="preserve">; </w:t>
      </w:r>
      <w:bookmarkStart w:id="4" w:name="_Hlk17922676"/>
    </w:p>
    <w:p w14:paraId="2C39B608" w14:textId="77777777" w:rsidR="00C479DB" w:rsidRPr="00576BF4" w:rsidRDefault="00043C72" w:rsidP="005F3E7A">
      <w:pPr>
        <w:pStyle w:val="ListParagraph"/>
        <w:numPr>
          <w:ilvl w:val="0"/>
          <w:numId w:val="27"/>
        </w:numPr>
        <w:spacing w:after="160"/>
        <w:ind w:left="1134" w:hanging="567"/>
        <w:jc w:val="both"/>
        <w:rPr>
          <w:rFonts w:ascii="Book Antiqua" w:hAnsi="Book Antiqua"/>
          <w:sz w:val="22"/>
          <w:szCs w:val="22"/>
          <w:lang w:val="es-MX"/>
        </w:rPr>
      </w:pPr>
      <w:r w:rsidRPr="00576BF4">
        <w:rPr>
          <w:rFonts w:ascii="Book Antiqua" w:hAnsi="Book Antiqua"/>
          <w:sz w:val="22"/>
          <w:szCs w:val="22"/>
          <w:lang w:val="es-MX"/>
        </w:rPr>
        <w:t xml:space="preserve">sus delegados fiduciarios suscriben el presente Contrato en nombre y representación del Fiduciario, y cuentan con todos los poderes y facultades suficientes para celebrar válidamente el presente Contrato en su nombre y representación y para obligar válidamente </w:t>
      </w:r>
      <w:r w:rsidR="00525319">
        <w:rPr>
          <w:rFonts w:ascii="Book Antiqua" w:hAnsi="Book Antiqua"/>
          <w:sz w:val="22"/>
          <w:szCs w:val="22"/>
          <w:lang w:val="es-MX"/>
        </w:rPr>
        <w:t>al Cesionario</w:t>
      </w:r>
      <w:r w:rsidRPr="00576BF4">
        <w:rPr>
          <w:rFonts w:ascii="Book Antiqua" w:hAnsi="Book Antiqua"/>
          <w:sz w:val="22"/>
          <w:szCs w:val="22"/>
          <w:lang w:val="es-MX"/>
        </w:rPr>
        <w:t xml:space="preserve"> en los términos </w:t>
      </w:r>
      <w:proofErr w:type="gramStart"/>
      <w:r w:rsidRPr="00576BF4">
        <w:rPr>
          <w:rFonts w:ascii="Book Antiqua" w:hAnsi="Book Antiqua"/>
          <w:sz w:val="22"/>
          <w:szCs w:val="22"/>
          <w:lang w:val="es-MX"/>
        </w:rPr>
        <w:t>del mismo</w:t>
      </w:r>
      <w:proofErr w:type="gramEnd"/>
      <w:r w:rsidRPr="00576BF4">
        <w:rPr>
          <w:rFonts w:ascii="Book Antiqua" w:hAnsi="Book Antiqua"/>
          <w:sz w:val="22"/>
          <w:szCs w:val="22"/>
          <w:lang w:val="es-MX"/>
        </w:rPr>
        <w:t>, y señalan que dichos poderes y facultades no les han sido revocadas, modificadas o limitadas en forma alguna</w:t>
      </w:r>
      <w:r w:rsidR="00F363DB" w:rsidRPr="00576BF4">
        <w:rPr>
          <w:rFonts w:ascii="Book Antiqua" w:hAnsi="Book Antiqua"/>
          <w:sz w:val="22"/>
          <w:szCs w:val="22"/>
          <w:lang w:val="es-MX"/>
        </w:rPr>
        <w:t>;</w:t>
      </w:r>
    </w:p>
    <w:p w14:paraId="3D0920A2" w14:textId="77777777" w:rsidR="00C479DB" w:rsidRPr="00EE75BB" w:rsidRDefault="0095335A" w:rsidP="005F3E7A">
      <w:pPr>
        <w:pStyle w:val="ListParagraph"/>
        <w:numPr>
          <w:ilvl w:val="0"/>
          <w:numId w:val="27"/>
        </w:numPr>
        <w:spacing w:after="160"/>
        <w:ind w:left="1134" w:hanging="567"/>
        <w:jc w:val="both"/>
        <w:rPr>
          <w:rFonts w:ascii="Book Antiqua" w:hAnsi="Book Antiqua"/>
          <w:sz w:val="22"/>
          <w:szCs w:val="22"/>
          <w:lang w:val="es-MX"/>
        </w:rPr>
      </w:pPr>
      <w:r w:rsidRPr="00576BF4">
        <w:rPr>
          <w:rFonts w:ascii="Book Antiqua" w:hAnsi="Book Antiqua"/>
          <w:sz w:val="22"/>
          <w:szCs w:val="22"/>
          <w:lang w:val="es-MX"/>
        </w:rPr>
        <w:t xml:space="preserve">además de las autorizaciones corporativas que se han obtenido y que son válidas y vinculantes, no requiere ninguna otra autorización o aprobación para celebrar este Convenio, o para cumplir o desempeñar con sus obligaciones en virtud </w:t>
      </w:r>
      <w:proofErr w:type="gramStart"/>
      <w:r w:rsidRPr="00576BF4">
        <w:rPr>
          <w:rFonts w:ascii="Book Antiqua" w:hAnsi="Book Antiqua"/>
          <w:sz w:val="22"/>
          <w:szCs w:val="22"/>
          <w:lang w:val="es-MX"/>
        </w:rPr>
        <w:t>del mismo</w:t>
      </w:r>
      <w:proofErr w:type="gramEnd"/>
      <w:r w:rsidRPr="00576BF4">
        <w:rPr>
          <w:rFonts w:ascii="Book Antiqua" w:hAnsi="Book Antiqua"/>
          <w:sz w:val="22"/>
          <w:szCs w:val="22"/>
          <w:lang w:val="es-MX"/>
        </w:rPr>
        <w:t>, las cuales son legales, válidas, vinculantes y ejecutables en su contra de acuerdo con sus térm</w:t>
      </w:r>
      <w:r w:rsidRPr="00EE75BB">
        <w:rPr>
          <w:rFonts w:ascii="Book Antiqua" w:hAnsi="Book Antiqua"/>
          <w:sz w:val="22"/>
          <w:szCs w:val="22"/>
          <w:lang w:val="es-MX"/>
        </w:rPr>
        <w:t xml:space="preserve">inos; </w:t>
      </w:r>
    </w:p>
    <w:p w14:paraId="2235BB86" w14:textId="77777777" w:rsidR="00043C72" w:rsidRPr="00EE75BB" w:rsidRDefault="00043C72" w:rsidP="005F3E7A">
      <w:pPr>
        <w:pStyle w:val="ListParagraph"/>
        <w:numPr>
          <w:ilvl w:val="0"/>
          <w:numId w:val="27"/>
        </w:numPr>
        <w:spacing w:after="160"/>
        <w:ind w:left="1134" w:hanging="567"/>
        <w:jc w:val="both"/>
        <w:rPr>
          <w:rFonts w:ascii="Book Antiqua" w:hAnsi="Book Antiqua"/>
          <w:sz w:val="22"/>
          <w:szCs w:val="22"/>
          <w:lang w:val="es-MX"/>
        </w:rPr>
      </w:pPr>
      <w:r w:rsidRPr="00EE75BB">
        <w:rPr>
          <w:rFonts w:ascii="Book Antiqua" w:hAnsi="Book Antiqua"/>
          <w:sz w:val="22"/>
          <w:szCs w:val="22"/>
          <w:lang w:val="es-MX"/>
        </w:rPr>
        <w:t>Es su deseo celebrar el presente Convenio y obligarse bajo los términos y condiciones establecidos bajo el mismo.</w:t>
      </w:r>
    </w:p>
    <w:bookmarkEnd w:id="4"/>
    <w:p w14:paraId="0267C0E6" w14:textId="77777777" w:rsidR="000C20DD" w:rsidRPr="00EE75BB" w:rsidRDefault="000C20DD" w:rsidP="00EE75BB">
      <w:pPr>
        <w:pStyle w:val="ListParagraph"/>
        <w:spacing w:after="160"/>
        <w:ind w:left="0"/>
        <w:jc w:val="both"/>
        <w:rPr>
          <w:rFonts w:ascii="Book Antiqua" w:hAnsi="Book Antiqua"/>
          <w:sz w:val="22"/>
          <w:szCs w:val="22"/>
          <w:lang w:val="es-MX"/>
        </w:rPr>
      </w:pPr>
    </w:p>
    <w:p w14:paraId="615FFA64" w14:textId="77777777" w:rsidR="0019436B" w:rsidRPr="00EE75BB" w:rsidRDefault="00043C72" w:rsidP="005F3E7A">
      <w:pPr>
        <w:numPr>
          <w:ilvl w:val="0"/>
          <w:numId w:val="23"/>
        </w:numPr>
        <w:spacing w:after="240"/>
        <w:ind w:left="709"/>
        <w:jc w:val="both"/>
        <w:rPr>
          <w:rFonts w:ascii="Book Antiqua" w:hAnsi="Book Antiqua"/>
          <w:sz w:val="22"/>
          <w:szCs w:val="22"/>
          <w:lang w:val="es-MX"/>
        </w:rPr>
      </w:pPr>
      <w:r w:rsidRPr="00EE75BB">
        <w:rPr>
          <w:rFonts w:ascii="Book Antiqua" w:hAnsi="Book Antiqua"/>
          <w:sz w:val="22"/>
          <w:szCs w:val="22"/>
          <w:lang w:val="es-MX"/>
        </w:rPr>
        <w:t xml:space="preserve">El Tenedor </w:t>
      </w:r>
      <w:r w:rsidR="00AF5C23" w:rsidRPr="00EE75BB">
        <w:rPr>
          <w:rFonts w:ascii="Book Antiqua" w:hAnsi="Book Antiqua"/>
          <w:sz w:val="22"/>
          <w:szCs w:val="22"/>
          <w:lang w:val="es-MX"/>
        </w:rPr>
        <w:t>declara, que:</w:t>
      </w:r>
    </w:p>
    <w:p w14:paraId="3A15A912" w14:textId="04CEBB55" w:rsidR="0019436B" w:rsidRPr="00576BF4" w:rsidRDefault="00043C72" w:rsidP="005F3E7A">
      <w:pPr>
        <w:numPr>
          <w:ilvl w:val="1"/>
          <w:numId w:val="21"/>
        </w:numPr>
        <w:spacing w:after="240"/>
        <w:ind w:left="993" w:hanging="284"/>
        <w:jc w:val="both"/>
        <w:rPr>
          <w:rFonts w:ascii="Book Antiqua" w:hAnsi="Book Antiqua"/>
          <w:sz w:val="22"/>
          <w:szCs w:val="22"/>
          <w:lang w:val="es-MX"/>
        </w:rPr>
      </w:pPr>
      <w:commentRangeStart w:id="5"/>
      <w:r w:rsidRPr="00EE75BB">
        <w:rPr>
          <w:rFonts w:ascii="Book Antiqua" w:hAnsi="Book Antiqua"/>
          <w:sz w:val="22"/>
          <w:szCs w:val="22"/>
          <w:lang w:val="es-MX"/>
        </w:rPr>
        <w:t xml:space="preserve">Es un ciudadano de </w:t>
      </w:r>
      <w:permStart w:id="107827475" w:edGrp="everyone"/>
      <w:r w:rsidRPr="00EE75BB">
        <w:rPr>
          <w:rFonts w:ascii="Book Antiqua" w:hAnsi="Book Antiqua"/>
          <w:sz w:val="22"/>
          <w:szCs w:val="22"/>
          <w:lang w:val="es-MX"/>
        </w:rPr>
        <w:t>[los Estados Unidos Mexicanos]</w:t>
      </w:r>
      <w:permEnd w:id="107827475"/>
      <w:r w:rsidRPr="00EE75BB">
        <w:rPr>
          <w:rFonts w:ascii="Book Antiqua" w:hAnsi="Book Antiqua"/>
          <w:sz w:val="22"/>
          <w:szCs w:val="22"/>
          <w:lang w:val="es-MX"/>
        </w:rPr>
        <w:t xml:space="preserve">, con domicilio en </w:t>
      </w:r>
      <w:permStart w:id="1310663133" w:edGrp="everyone"/>
      <w:r w:rsidRPr="00EE75BB">
        <w:rPr>
          <w:rFonts w:ascii="Book Antiqua" w:hAnsi="Book Antiqua"/>
          <w:sz w:val="22"/>
          <w:szCs w:val="22"/>
          <w:lang w:val="es-MX"/>
        </w:rPr>
        <w:t>[la Ciudad de México]</w:t>
      </w:r>
      <w:permEnd w:id="1310663133"/>
      <w:r w:rsidRPr="00EE75BB">
        <w:rPr>
          <w:rFonts w:ascii="Book Antiqua" w:hAnsi="Book Antiqua"/>
          <w:sz w:val="22"/>
          <w:szCs w:val="22"/>
          <w:lang w:val="es-MX"/>
        </w:rPr>
        <w:t xml:space="preserve">, </w:t>
      </w:r>
      <w:permStart w:id="1139029233" w:edGrp="everyone"/>
      <w:r w:rsidRPr="00EE75BB">
        <w:rPr>
          <w:rFonts w:ascii="Book Antiqua" w:hAnsi="Book Antiqua"/>
          <w:sz w:val="22"/>
          <w:szCs w:val="22"/>
          <w:lang w:val="es-MX"/>
        </w:rPr>
        <w:t>[soltero/casado]</w:t>
      </w:r>
      <w:permEnd w:id="1139029233"/>
      <w:r w:rsidRPr="00EE75BB">
        <w:rPr>
          <w:rFonts w:ascii="Book Antiqua" w:hAnsi="Book Antiqua"/>
          <w:sz w:val="22"/>
          <w:szCs w:val="22"/>
          <w:lang w:val="es-MX"/>
        </w:rPr>
        <w:t xml:space="preserve">, bajo el régimen de </w:t>
      </w:r>
      <w:permStart w:id="603523573" w:edGrp="everyone"/>
      <w:r w:rsidRPr="00EE75BB">
        <w:rPr>
          <w:rFonts w:ascii="Book Antiqua" w:hAnsi="Book Antiqua"/>
          <w:sz w:val="22"/>
          <w:szCs w:val="22"/>
          <w:lang w:val="es-MX"/>
        </w:rPr>
        <w:t>[propiedad conyugal/separación de bienes</w:t>
      </w:r>
      <w:r w:rsidR="00613E83">
        <w:rPr>
          <w:rFonts w:ascii="Book Antiqua" w:hAnsi="Book Antiqua"/>
          <w:sz w:val="22"/>
          <w:szCs w:val="22"/>
          <w:lang w:val="es-MX"/>
        </w:rPr>
        <w:t>/no aplica</w:t>
      </w:r>
      <w:commentRangeEnd w:id="5"/>
      <w:r w:rsidR="003337F9">
        <w:rPr>
          <w:rStyle w:val="CommentReference"/>
        </w:rPr>
        <w:commentReference w:id="5"/>
      </w:r>
      <w:r w:rsidRPr="00EE75BB">
        <w:rPr>
          <w:rFonts w:ascii="Book Antiqua" w:hAnsi="Book Antiqua"/>
          <w:sz w:val="22"/>
          <w:szCs w:val="22"/>
          <w:lang w:val="es-MX"/>
        </w:rPr>
        <w:t>]</w:t>
      </w:r>
      <w:permEnd w:id="603523573"/>
      <w:r w:rsidRPr="00EE75BB">
        <w:rPr>
          <w:rFonts w:ascii="Book Antiqua" w:hAnsi="Book Antiqua"/>
          <w:sz w:val="22"/>
          <w:szCs w:val="22"/>
          <w:lang w:val="es-MX"/>
        </w:rPr>
        <w:t>, en pleno ejercicio de sus dere</w:t>
      </w:r>
      <w:r w:rsidRPr="00576BF4">
        <w:rPr>
          <w:rFonts w:ascii="Book Antiqua" w:hAnsi="Book Antiqua"/>
          <w:sz w:val="22"/>
          <w:szCs w:val="22"/>
          <w:lang w:val="es-MX"/>
        </w:rPr>
        <w:t xml:space="preserve">chos civiles, el cual se identifica </w:t>
      </w:r>
      <w:commentRangeStart w:id="6"/>
      <w:r w:rsidRPr="00576BF4">
        <w:rPr>
          <w:rFonts w:ascii="Book Antiqua" w:hAnsi="Book Antiqua"/>
          <w:sz w:val="22"/>
          <w:szCs w:val="22"/>
          <w:lang w:val="es-MX"/>
        </w:rPr>
        <w:t xml:space="preserve">con </w:t>
      </w:r>
      <w:permStart w:id="885076138" w:edGrp="everyone"/>
      <w:r w:rsidRPr="00576BF4">
        <w:rPr>
          <w:rFonts w:ascii="Book Antiqua" w:hAnsi="Book Antiqua"/>
          <w:sz w:val="22"/>
          <w:szCs w:val="22"/>
          <w:lang w:val="es-MX"/>
        </w:rPr>
        <w:t>[•]</w:t>
      </w:r>
      <w:permEnd w:id="885076138"/>
      <w:r w:rsidR="0019436B" w:rsidRPr="00576BF4">
        <w:rPr>
          <w:rFonts w:ascii="Book Antiqua" w:hAnsi="Book Antiqua"/>
          <w:sz w:val="22"/>
          <w:szCs w:val="22"/>
          <w:lang w:val="es-MX"/>
        </w:rPr>
        <w:t>;</w:t>
      </w:r>
      <w:commentRangeEnd w:id="6"/>
      <w:r w:rsidR="003337F9">
        <w:rPr>
          <w:rStyle w:val="CommentReference"/>
        </w:rPr>
        <w:commentReference w:id="6"/>
      </w:r>
    </w:p>
    <w:p w14:paraId="6C03E0BE" w14:textId="77777777" w:rsidR="0019436B" w:rsidRPr="00576BF4" w:rsidRDefault="0019436B" w:rsidP="005F3E7A">
      <w:pPr>
        <w:numPr>
          <w:ilvl w:val="1"/>
          <w:numId w:val="21"/>
        </w:numPr>
        <w:spacing w:after="240"/>
        <w:ind w:left="993" w:hanging="284"/>
        <w:jc w:val="both"/>
        <w:rPr>
          <w:rFonts w:ascii="Book Antiqua" w:hAnsi="Book Antiqua"/>
          <w:sz w:val="22"/>
          <w:szCs w:val="22"/>
          <w:lang w:val="es-MX"/>
        </w:rPr>
      </w:pPr>
      <w:r w:rsidRPr="00576BF4">
        <w:rPr>
          <w:rFonts w:ascii="Book Antiqua" w:hAnsi="Book Antiqua"/>
          <w:sz w:val="22"/>
          <w:szCs w:val="22"/>
          <w:lang w:val="es-MX"/>
        </w:rPr>
        <w:t>tiene capacidad legal y autoridad suficiente</w:t>
      </w:r>
      <w:r w:rsidR="0030344B" w:rsidRPr="00EE75BB">
        <w:rPr>
          <w:rFonts w:ascii="Book Antiqua" w:hAnsi="Book Antiqua"/>
          <w:sz w:val="22"/>
          <w:szCs w:val="22"/>
          <w:lang w:val="es-MX"/>
        </w:rPr>
        <w:t xml:space="preserve"> </w:t>
      </w:r>
      <w:r w:rsidRPr="00576BF4">
        <w:rPr>
          <w:rFonts w:ascii="Book Antiqua" w:hAnsi="Book Antiqua"/>
          <w:sz w:val="22"/>
          <w:szCs w:val="22"/>
          <w:lang w:val="es-MX"/>
        </w:rPr>
        <w:t xml:space="preserve">para celebrar este Convenio, y cumplir con sus obligaciones en virtud </w:t>
      </w:r>
      <w:proofErr w:type="gramStart"/>
      <w:r w:rsidRPr="00576BF4">
        <w:rPr>
          <w:rFonts w:ascii="Book Antiqua" w:hAnsi="Book Antiqua"/>
          <w:sz w:val="22"/>
          <w:szCs w:val="22"/>
          <w:lang w:val="es-MX"/>
        </w:rPr>
        <w:t>del mismo</w:t>
      </w:r>
      <w:proofErr w:type="gramEnd"/>
      <w:r w:rsidRPr="00576BF4">
        <w:rPr>
          <w:rFonts w:ascii="Book Antiqua" w:hAnsi="Book Antiqua"/>
          <w:sz w:val="22"/>
          <w:szCs w:val="22"/>
          <w:lang w:val="es-MX"/>
        </w:rPr>
        <w:t xml:space="preserve"> de conformidad con los términos establecidos en el presente Convenio;</w:t>
      </w:r>
    </w:p>
    <w:p w14:paraId="6BD1C49E" w14:textId="77777777" w:rsidR="0019436B" w:rsidRPr="00576BF4" w:rsidRDefault="0019436B" w:rsidP="005F3E7A">
      <w:pPr>
        <w:numPr>
          <w:ilvl w:val="1"/>
          <w:numId w:val="21"/>
        </w:numPr>
        <w:spacing w:after="240"/>
        <w:ind w:left="993" w:hanging="284"/>
        <w:jc w:val="both"/>
        <w:rPr>
          <w:rFonts w:ascii="Book Antiqua" w:hAnsi="Book Antiqua"/>
          <w:sz w:val="22"/>
          <w:szCs w:val="22"/>
          <w:lang w:val="es-MX"/>
        </w:rPr>
      </w:pPr>
      <w:r w:rsidRPr="00576BF4">
        <w:rPr>
          <w:rFonts w:ascii="Book Antiqua" w:hAnsi="Book Antiqua"/>
          <w:sz w:val="22"/>
          <w:szCs w:val="22"/>
          <w:lang w:val="es-MX"/>
        </w:rPr>
        <w:t xml:space="preserve">la celebración y ejecución de este Convenio no viola o constituye un incumplimiento bajo ningún convenio, contrato, licencia, juicio u orden de la cual </w:t>
      </w:r>
      <w:r w:rsidR="0030344B" w:rsidRPr="00EE75BB">
        <w:rPr>
          <w:rFonts w:ascii="Book Antiqua" w:hAnsi="Book Antiqua"/>
          <w:sz w:val="22"/>
          <w:szCs w:val="22"/>
          <w:lang w:val="es-MX"/>
        </w:rPr>
        <w:t>el Tenedor</w:t>
      </w:r>
      <w:r w:rsidR="0030344B" w:rsidRPr="00576BF4">
        <w:rPr>
          <w:rFonts w:ascii="Book Antiqua" w:hAnsi="Book Antiqua"/>
          <w:sz w:val="22"/>
          <w:szCs w:val="22"/>
          <w:lang w:val="es-MX"/>
        </w:rPr>
        <w:t xml:space="preserve"> </w:t>
      </w:r>
      <w:r w:rsidRPr="00576BF4">
        <w:rPr>
          <w:rFonts w:ascii="Book Antiqua" w:hAnsi="Book Antiqua"/>
          <w:sz w:val="22"/>
          <w:szCs w:val="22"/>
          <w:lang w:val="es-MX"/>
        </w:rPr>
        <w:t>sea parte o por la cual cualquiera de sus activos se encuentre obligado, o cualquier ley aplicable que obligue a</w:t>
      </w:r>
      <w:r w:rsidR="0030344B" w:rsidRPr="00EE75BB">
        <w:rPr>
          <w:rFonts w:ascii="Book Antiqua" w:hAnsi="Book Antiqua"/>
          <w:sz w:val="22"/>
          <w:szCs w:val="22"/>
          <w:lang w:val="es-MX"/>
        </w:rPr>
        <w:t>l Tenedor</w:t>
      </w:r>
      <w:r w:rsidRPr="00576BF4">
        <w:rPr>
          <w:rFonts w:ascii="Book Antiqua" w:hAnsi="Book Antiqua"/>
          <w:sz w:val="22"/>
          <w:szCs w:val="22"/>
          <w:lang w:val="es-MX"/>
        </w:rPr>
        <w:t>;</w:t>
      </w:r>
    </w:p>
    <w:p w14:paraId="6970DB4E" w14:textId="77777777" w:rsidR="0019436B" w:rsidRPr="00576BF4" w:rsidRDefault="00CB16A5" w:rsidP="005F3E7A">
      <w:pPr>
        <w:numPr>
          <w:ilvl w:val="1"/>
          <w:numId w:val="21"/>
        </w:numPr>
        <w:spacing w:after="240"/>
        <w:ind w:left="993" w:hanging="284"/>
        <w:jc w:val="both"/>
        <w:rPr>
          <w:rFonts w:ascii="Book Antiqua" w:hAnsi="Book Antiqua"/>
          <w:sz w:val="22"/>
          <w:szCs w:val="22"/>
          <w:lang w:val="es-MX"/>
        </w:rPr>
      </w:pPr>
      <w:r w:rsidRPr="00CB16A5">
        <w:rPr>
          <w:rFonts w:ascii="Book Antiqua" w:hAnsi="Book Antiqua"/>
          <w:sz w:val="22"/>
          <w:szCs w:val="22"/>
          <w:lang w:val="es-MX"/>
        </w:rPr>
        <w:t xml:space="preserve">Es el legítimo y exclusivo titular de </w:t>
      </w:r>
      <w:permStart w:id="1367349080" w:edGrp="everyone"/>
      <w:commentRangeStart w:id="7"/>
      <w:r w:rsidRPr="00CB16A5">
        <w:rPr>
          <w:rFonts w:ascii="Book Antiqua" w:hAnsi="Book Antiqua"/>
          <w:sz w:val="22"/>
          <w:szCs w:val="22"/>
          <w:lang w:val="es-MX"/>
        </w:rPr>
        <w:t>[●]</w:t>
      </w:r>
      <w:commentRangeEnd w:id="7"/>
      <w:r w:rsidR="003337F9">
        <w:rPr>
          <w:rStyle w:val="CommentReference"/>
        </w:rPr>
        <w:commentReference w:id="7"/>
      </w:r>
      <w:permEnd w:id="1367349080"/>
      <w:r w:rsidRPr="00CB16A5">
        <w:rPr>
          <w:rFonts w:ascii="Book Antiqua" w:hAnsi="Book Antiqua"/>
          <w:sz w:val="22"/>
          <w:szCs w:val="22"/>
          <w:lang w:val="es-MX"/>
        </w:rPr>
        <w:t xml:space="preserve"> </w:t>
      </w:r>
      <w:proofErr w:type="spellStart"/>
      <w:r>
        <w:rPr>
          <w:rFonts w:ascii="Book Antiqua" w:hAnsi="Book Antiqua"/>
          <w:sz w:val="22"/>
          <w:szCs w:val="22"/>
          <w:lang w:val="es-MX"/>
        </w:rPr>
        <w:t>CBFIs</w:t>
      </w:r>
      <w:proofErr w:type="spellEnd"/>
      <w:r>
        <w:rPr>
          <w:rFonts w:ascii="Book Antiqua" w:hAnsi="Book Antiqua"/>
          <w:sz w:val="22"/>
          <w:szCs w:val="22"/>
          <w:lang w:val="es-MX"/>
        </w:rPr>
        <w:t xml:space="preserve"> Cedidos (según dicho término se define más adelante)</w:t>
      </w:r>
      <w:r w:rsidRPr="00CB16A5">
        <w:rPr>
          <w:rFonts w:ascii="Book Antiqua" w:hAnsi="Book Antiqua"/>
          <w:sz w:val="22"/>
          <w:szCs w:val="22"/>
          <w:lang w:val="es-MX"/>
        </w:rPr>
        <w:t xml:space="preserve">, </w:t>
      </w:r>
      <w:r w:rsidR="00726867">
        <w:rPr>
          <w:rFonts w:ascii="Book Antiqua" w:hAnsi="Book Antiqua"/>
          <w:sz w:val="22"/>
          <w:szCs w:val="22"/>
          <w:lang w:val="es-MX"/>
        </w:rPr>
        <w:t xml:space="preserve">según lo demuestra mediante copia de la </w:t>
      </w:r>
      <w:commentRangeStart w:id="8"/>
      <w:r w:rsidR="00726867">
        <w:rPr>
          <w:rFonts w:ascii="Book Antiqua" w:hAnsi="Book Antiqua"/>
          <w:sz w:val="22"/>
          <w:szCs w:val="22"/>
          <w:lang w:val="es-MX"/>
        </w:rPr>
        <w:t xml:space="preserve">constancia de Indeval y el listado de posiciones de su casa de bolsa </w:t>
      </w:r>
      <w:commentRangeEnd w:id="8"/>
      <w:r w:rsidR="00B84984">
        <w:rPr>
          <w:rStyle w:val="CommentReference"/>
        </w:rPr>
        <w:commentReference w:id="8"/>
      </w:r>
      <w:r w:rsidR="00726867">
        <w:rPr>
          <w:rFonts w:ascii="Book Antiqua" w:hAnsi="Book Antiqua"/>
          <w:sz w:val="22"/>
          <w:szCs w:val="22"/>
          <w:lang w:val="es-MX"/>
        </w:rPr>
        <w:t xml:space="preserve">que se adjuntan al presente como </w:t>
      </w:r>
      <w:r w:rsidR="00726867" w:rsidRPr="00726867">
        <w:rPr>
          <w:rFonts w:ascii="Book Antiqua" w:hAnsi="Book Antiqua"/>
          <w:b/>
          <w:bCs/>
          <w:sz w:val="22"/>
          <w:szCs w:val="22"/>
          <w:u w:val="single"/>
          <w:lang w:val="es-MX"/>
        </w:rPr>
        <w:t>Anexo “A”</w:t>
      </w:r>
      <w:r w:rsidR="00726867">
        <w:rPr>
          <w:rFonts w:ascii="Book Antiqua" w:hAnsi="Book Antiqua"/>
          <w:sz w:val="22"/>
          <w:szCs w:val="22"/>
          <w:lang w:val="es-MX"/>
        </w:rPr>
        <w:t xml:space="preserve"> y </w:t>
      </w:r>
      <w:r w:rsidRPr="00CB16A5">
        <w:rPr>
          <w:rFonts w:ascii="Book Antiqua" w:hAnsi="Book Antiqua"/>
          <w:sz w:val="22"/>
          <w:szCs w:val="22"/>
          <w:lang w:val="es-MX"/>
        </w:rPr>
        <w:t xml:space="preserve">los cuales se encuentran plenamente individualizados en el </w:t>
      </w:r>
      <w:r w:rsidRPr="00726867">
        <w:rPr>
          <w:rFonts w:ascii="Book Antiqua" w:hAnsi="Book Antiqua"/>
          <w:b/>
          <w:bCs/>
          <w:sz w:val="22"/>
          <w:szCs w:val="22"/>
          <w:u w:val="single"/>
          <w:lang w:val="es-MX"/>
        </w:rPr>
        <w:t>Anexo “</w:t>
      </w:r>
      <w:r w:rsidR="00726867" w:rsidRPr="00726867">
        <w:rPr>
          <w:rFonts w:ascii="Book Antiqua" w:hAnsi="Book Antiqua"/>
          <w:b/>
          <w:bCs/>
          <w:sz w:val="22"/>
          <w:szCs w:val="22"/>
          <w:u w:val="single"/>
          <w:lang w:val="es-MX"/>
        </w:rPr>
        <w:t>B</w:t>
      </w:r>
      <w:r w:rsidRPr="00726867">
        <w:rPr>
          <w:rFonts w:ascii="Book Antiqua" w:hAnsi="Book Antiqua"/>
          <w:b/>
          <w:bCs/>
          <w:sz w:val="22"/>
          <w:szCs w:val="22"/>
          <w:u w:val="single"/>
          <w:lang w:val="es-MX"/>
        </w:rPr>
        <w:t>”</w:t>
      </w:r>
      <w:r w:rsidRPr="00CB16A5">
        <w:rPr>
          <w:rFonts w:ascii="Book Antiqua" w:hAnsi="Book Antiqua"/>
          <w:sz w:val="22"/>
          <w:szCs w:val="22"/>
          <w:lang w:val="es-MX"/>
        </w:rPr>
        <w:t xml:space="preserve"> del presente Convenio</w:t>
      </w:r>
      <w:r w:rsidR="0019436B" w:rsidRPr="00576BF4">
        <w:rPr>
          <w:rFonts w:ascii="Book Antiqua" w:hAnsi="Book Antiqua"/>
          <w:sz w:val="22"/>
          <w:szCs w:val="22"/>
          <w:lang w:val="es-MX"/>
        </w:rPr>
        <w:t xml:space="preserve">; </w:t>
      </w:r>
      <w:r w:rsidR="0030344B" w:rsidRPr="00EE75BB">
        <w:rPr>
          <w:rFonts w:ascii="Book Antiqua" w:hAnsi="Book Antiqua"/>
          <w:sz w:val="22"/>
          <w:szCs w:val="22"/>
          <w:lang w:val="es-MX"/>
        </w:rPr>
        <w:t>y</w:t>
      </w:r>
    </w:p>
    <w:p w14:paraId="299A2D8F" w14:textId="77777777" w:rsidR="000D5BAF" w:rsidRPr="00576BF4" w:rsidRDefault="0030344B" w:rsidP="005F3E7A">
      <w:pPr>
        <w:numPr>
          <w:ilvl w:val="1"/>
          <w:numId w:val="21"/>
        </w:numPr>
        <w:spacing w:after="240"/>
        <w:ind w:left="993" w:hanging="284"/>
        <w:jc w:val="both"/>
        <w:rPr>
          <w:rFonts w:ascii="Book Antiqua" w:hAnsi="Book Antiqua"/>
          <w:sz w:val="22"/>
          <w:szCs w:val="22"/>
          <w:lang w:val="es-MX"/>
        </w:rPr>
      </w:pPr>
      <w:r w:rsidRPr="00576BF4">
        <w:rPr>
          <w:rFonts w:ascii="Book Antiqua" w:hAnsi="Book Antiqua"/>
          <w:sz w:val="22"/>
          <w:szCs w:val="22"/>
          <w:lang w:val="es-MX"/>
        </w:rPr>
        <w:t>Es su deseo celebrar el presente Convenio y obligarse bajo los términos y condiciones establecidos bajo el mismo</w:t>
      </w:r>
      <w:r w:rsidRPr="00EE75BB">
        <w:rPr>
          <w:rFonts w:ascii="Book Antiqua" w:hAnsi="Book Antiqua"/>
          <w:sz w:val="22"/>
          <w:szCs w:val="22"/>
          <w:lang w:val="es-MX"/>
        </w:rPr>
        <w:t>.</w:t>
      </w:r>
    </w:p>
    <w:p w14:paraId="1AD281D8" w14:textId="77777777" w:rsidR="00AF5C23" w:rsidRPr="003E2563" w:rsidRDefault="002F7AB3" w:rsidP="00C22BFE">
      <w:pPr>
        <w:spacing w:after="240"/>
        <w:ind w:firstLine="708"/>
        <w:jc w:val="both"/>
        <w:rPr>
          <w:rFonts w:ascii="Book Antiqua" w:hAnsi="Book Antiqua"/>
          <w:sz w:val="22"/>
          <w:szCs w:val="22"/>
          <w:lang w:val="es-MX"/>
        </w:rPr>
      </w:pPr>
      <w:r w:rsidRPr="00576BF4">
        <w:rPr>
          <w:rFonts w:ascii="Book Antiqua" w:hAnsi="Book Antiqua"/>
          <w:b/>
          <w:bCs/>
          <w:sz w:val="22"/>
          <w:szCs w:val="22"/>
          <w:lang w:val="es-MX"/>
        </w:rPr>
        <w:t>EN VIRTUD DE LO ANTERIOR</w:t>
      </w:r>
      <w:r w:rsidRPr="00576BF4">
        <w:rPr>
          <w:rFonts w:ascii="Book Antiqua" w:hAnsi="Book Antiqua"/>
          <w:sz w:val="22"/>
          <w:szCs w:val="22"/>
          <w:lang w:val="es-MX"/>
        </w:rPr>
        <w:t>, con base en los antecedes y declaraciones contenidas en el presente Convenio, las partes otorgan las siguientes:</w:t>
      </w:r>
    </w:p>
    <w:p w14:paraId="18CC0C78" w14:textId="77777777" w:rsidR="00AF5C23" w:rsidRPr="003E2563" w:rsidRDefault="00AF5C23" w:rsidP="00C22BFE">
      <w:pPr>
        <w:spacing w:after="240"/>
        <w:jc w:val="center"/>
        <w:rPr>
          <w:rFonts w:ascii="Book Antiqua" w:hAnsi="Book Antiqua"/>
          <w:b/>
          <w:bCs/>
          <w:sz w:val="22"/>
          <w:szCs w:val="22"/>
          <w:lang w:val="es-MX"/>
        </w:rPr>
      </w:pPr>
      <w:r w:rsidRPr="003E2563">
        <w:rPr>
          <w:rFonts w:ascii="Book Antiqua" w:hAnsi="Book Antiqua"/>
          <w:b/>
          <w:bCs/>
          <w:sz w:val="22"/>
          <w:szCs w:val="22"/>
          <w:lang w:val="es-MX"/>
        </w:rPr>
        <w:t>CL</w:t>
      </w:r>
      <w:r w:rsidR="002F7AB3" w:rsidRPr="003E2563">
        <w:rPr>
          <w:rFonts w:ascii="Book Antiqua" w:hAnsi="Book Antiqua"/>
          <w:b/>
          <w:bCs/>
          <w:sz w:val="22"/>
          <w:szCs w:val="22"/>
          <w:lang w:val="es-MX"/>
        </w:rPr>
        <w:t>Á</w:t>
      </w:r>
      <w:r w:rsidRPr="003E2563">
        <w:rPr>
          <w:rFonts w:ascii="Book Antiqua" w:hAnsi="Book Antiqua"/>
          <w:b/>
          <w:bCs/>
          <w:sz w:val="22"/>
          <w:szCs w:val="22"/>
          <w:lang w:val="es-MX"/>
        </w:rPr>
        <w:t>USULAS</w:t>
      </w:r>
    </w:p>
    <w:p w14:paraId="670718A1" w14:textId="77777777" w:rsidR="00A20D5B" w:rsidRPr="003E2563" w:rsidRDefault="00A20D5B" w:rsidP="00C22BFE">
      <w:pPr>
        <w:spacing w:after="240"/>
        <w:jc w:val="both"/>
        <w:rPr>
          <w:rFonts w:ascii="Book Antiqua" w:hAnsi="Book Antiqua"/>
          <w:sz w:val="22"/>
          <w:szCs w:val="22"/>
          <w:lang w:val="es-MX"/>
        </w:rPr>
      </w:pPr>
      <w:r w:rsidRPr="003E2563">
        <w:rPr>
          <w:rFonts w:ascii="Book Antiqua" w:hAnsi="Book Antiqua"/>
          <w:b/>
          <w:sz w:val="22"/>
          <w:szCs w:val="22"/>
          <w:lang w:val="es-MX"/>
        </w:rPr>
        <w:t>PRIMERA</w:t>
      </w:r>
      <w:r w:rsidRPr="003E2563">
        <w:rPr>
          <w:rFonts w:ascii="Book Antiqua" w:hAnsi="Book Antiqua"/>
          <w:bCs/>
          <w:sz w:val="22"/>
          <w:szCs w:val="22"/>
          <w:lang w:val="es-MX"/>
        </w:rPr>
        <w:t>.</w:t>
      </w:r>
      <w:r w:rsidRPr="003E2563">
        <w:rPr>
          <w:rFonts w:ascii="Book Antiqua" w:hAnsi="Book Antiqua"/>
          <w:sz w:val="22"/>
          <w:szCs w:val="22"/>
          <w:lang w:val="es-MX"/>
        </w:rPr>
        <w:t xml:space="preserve"> </w:t>
      </w:r>
      <w:r w:rsidRPr="003E2563">
        <w:rPr>
          <w:rFonts w:ascii="Book Antiqua" w:hAnsi="Book Antiqua"/>
          <w:sz w:val="22"/>
          <w:szCs w:val="22"/>
          <w:u w:val="single"/>
          <w:lang w:val="es-MX"/>
        </w:rPr>
        <w:t>Términos Definidos</w:t>
      </w:r>
      <w:r w:rsidRPr="003E2563">
        <w:rPr>
          <w:rFonts w:ascii="Book Antiqua" w:hAnsi="Book Antiqua"/>
          <w:sz w:val="22"/>
          <w:szCs w:val="22"/>
          <w:lang w:val="es-MX"/>
        </w:rPr>
        <w:t xml:space="preserve">; </w:t>
      </w:r>
      <w:r w:rsidRPr="003E2563">
        <w:rPr>
          <w:rFonts w:ascii="Book Antiqua" w:hAnsi="Book Antiqua"/>
          <w:sz w:val="22"/>
          <w:szCs w:val="22"/>
          <w:u w:val="single"/>
          <w:lang w:val="es-MX"/>
        </w:rPr>
        <w:t>Interpretación</w:t>
      </w:r>
      <w:r w:rsidRPr="003E2563">
        <w:rPr>
          <w:rFonts w:ascii="Book Antiqua" w:hAnsi="Book Antiqua"/>
          <w:sz w:val="22"/>
          <w:szCs w:val="22"/>
          <w:lang w:val="es-MX"/>
        </w:rPr>
        <w:t>.</w:t>
      </w:r>
    </w:p>
    <w:p w14:paraId="1648CBCE" w14:textId="77777777" w:rsidR="00A20D5B" w:rsidRPr="003E2563" w:rsidRDefault="009B66D1" w:rsidP="00EC6222">
      <w:pPr>
        <w:numPr>
          <w:ilvl w:val="4"/>
          <w:numId w:val="24"/>
        </w:numPr>
        <w:tabs>
          <w:tab w:val="clear" w:pos="1800"/>
        </w:tabs>
        <w:spacing w:after="240"/>
        <w:ind w:left="0" w:firstLine="0"/>
        <w:jc w:val="both"/>
        <w:rPr>
          <w:rFonts w:ascii="Book Antiqua" w:hAnsi="Book Antiqua"/>
          <w:sz w:val="22"/>
          <w:szCs w:val="22"/>
          <w:lang w:val="es-MX"/>
        </w:rPr>
      </w:pPr>
      <w:r w:rsidRPr="009B66D1">
        <w:rPr>
          <w:rFonts w:ascii="Book Antiqua" w:hAnsi="Book Antiqua"/>
          <w:sz w:val="22"/>
          <w:szCs w:val="22"/>
          <w:lang w:val="es-MX"/>
        </w:rPr>
        <w:t>Para efectos del presente Convenio, los términos que se utilicen con mayúscula inicial y no se encuentren definidos expresamente en el mismo, tendrán el significado que se les atribuya conforme a la Ley Aplicable o, en su caso, al contexto del presente Convenio</w:t>
      </w:r>
      <w:r w:rsidR="00A20D5B" w:rsidRPr="003E2563">
        <w:rPr>
          <w:rFonts w:ascii="Book Antiqua" w:hAnsi="Book Antiqua"/>
          <w:sz w:val="22"/>
          <w:szCs w:val="22"/>
          <w:lang w:val="es-MX"/>
        </w:rPr>
        <w:t xml:space="preserve">. </w:t>
      </w:r>
    </w:p>
    <w:p w14:paraId="01BF6639" w14:textId="77777777" w:rsidR="00A20D5B" w:rsidRPr="003E2563" w:rsidRDefault="009B66D1" w:rsidP="00C22BFE">
      <w:pPr>
        <w:numPr>
          <w:ilvl w:val="4"/>
          <w:numId w:val="24"/>
        </w:numPr>
        <w:tabs>
          <w:tab w:val="clear" w:pos="1800"/>
        </w:tabs>
        <w:spacing w:after="240"/>
        <w:ind w:left="0" w:firstLine="0"/>
        <w:jc w:val="both"/>
        <w:rPr>
          <w:rFonts w:ascii="Book Antiqua" w:hAnsi="Book Antiqua"/>
          <w:sz w:val="22"/>
          <w:szCs w:val="22"/>
          <w:lang w:val="es-MX"/>
        </w:rPr>
      </w:pPr>
      <w:r w:rsidRPr="009B66D1">
        <w:rPr>
          <w:rFonts w:ascii="Book Antiqua" w:hAnsi="Book Antiqua"/>
          <w:sz w:val="22"/>
          <w:szCs w:val="22"/>
        </w:rPr>
        <w:t>Salvo que se requiera lo contrario por el contexto:</w:t>
      </w:r>
      <w:r>
        <w:rPr>
          <w:rFonts w:ascii="Book Antiqua" w:hAnsi="Book Antiqua"/>
          <w:sz w:val="22"/>
          <w:szCs w:val="22"/>
        </w:rPr>
        <w:t xml:space="preserve"> </w:t>
      </w:r>
      <w:r w:rsidRPr="009B66D1">
        <w:rPr>
          <w:rFonts w:ascii="Book Antiqua" w:hAnsi="Book Antiqua"/>
          <w:sz w:val="22"/>
          <w:szCs w:val="22"/>
        </w:rPr>
        <w:t>(i) las referencias a cláusulas o secciones se entenderán hechas a las cláusulas o secciones del presente Convenio;</w:t>
      </w:r>
      <w:r>
        <w:rPr>
          <w:rFonts w:ascii="Book Antiqua" w:hAnsi="Book Antiqua"/>
          <w:sz w:val="22"/>
          <w:szCs w:val="22"/>
        </w:rPr>
        <w:t xml:space="preserve"> </w:t>
      </w:r>
      <w:r w:rsidRPr="009B66D1">
        <w:rPr>
          <w:rFonts w:ascii="Book Antiqua" w:hAnsi="Book Antiqua"/>
          <w:sz w:val="22"/>
          <w:szCs w:val="22"/>
        </w:rPr>
        <w:t>(</w:t>
      </w:r>
      <w:proofErr w:type="spellStart"/>
      <w:r w:rsidRPr="009B66D1">
        <w:rPr>
          <w:rFonts w:ascii="Book Antiqua" w:hAnsi="Book Antiqua"/>
          <w:sz w:val="22"/>
          <w:szCs w:val="22"/>
        </w:rPr>
        <w:t>ii</w:t>
      </w:r>
      <w:proofErr w:type="spellEnd"/>
      <w:r w:rsidRPr="009B66D1">
        <w:rPr>
          <w:rFonts w:ascii="Book Antiqua" w:hAnsi="Book Antiqua"/>
          <w:sz w:val="22"/>
          <w:szCs w:val="22"/>
        </w:rPr>
        <w:t>) las palabras “incluye”, “incluyen” e “incluyendo” se entenderán seguidas de la expresión “sin limitación”;</w:t>
      </w:r>
      <w:r>
        <w:rPr>
          <w:rFonts w:ascii="Book Antiqua" w:hAnsi="Book Antiqua"/>
          <w:sz w:val="22"/>
          <w:szCs w:val="22"/>
        </w:rPr>
        <w:t xml:space="preserve"> </w:t>
      </w:r>
      <w:r w:rsidRPr="009B66D1">
        <w:rPr>
          <w:rFonts w:ascii="Book Antiqua" w:hAnsi="Book Antiqua"/>
          <w:sz w:val="22"/>
          <w:szCs w:val="22"/>
        </w:rPr>
        <w:t>(</w:t>
      </w:r>
      <w:proofErr w:type="spellStart"/>
      <w:r w:rsidRPr="009B66D1">
        <w:rPr>
          <w:rFonts w:ascii="Book Antiqua" w:hAnsi="Book Antiqua"/>
          <w:sz w:val="22"/>
          <w:szCs w:val="22"/>
        </w:rPr>
        <w:t>iii</w:t>
      </w:r>
      <w:proofErr w:type="spellEnd"/>
      <w:r w:rsidRPr="009B66D1">
        <w:rPr>
          <w:rFonts w:ascii="Book Antiqua" w:hAnsi="Book Antiqua"/>
          <w:sz w:val="22"/>
          <w:szCs w:val="22"/>
        </w:rPr>
        <w:t>) cualquier referencia a una disposición legal incluirá sus reformas o sustituciones vigentes en cualquier momento</w:t>
      </w:r>
      <w:r w:rsidR="00A20D5B" w:rsidRPr="003E2563">
        <w:rPr>
          <w:rFonts w:ascii="Book Antiqua" w:hAnsi="Book Antiqua"/>
          <w:sz w:val="22"/>
          <w:szCs w:val="22"/>
          <w:lang w:val="es-MX"/>
        </w:rPr>
        <w:t>.</w:t>
      </w:r>
    </w:p>
    <w:p w14:paraId="26C137A7" w14:textId="77777777" w:rsidR="00A20D5B" w:rsidRPr="003E2563" w:rsidRDefault="00A20D5B" w:rsidP="00C22BFE">
      <w:pPr>
        <w:numPr>
          <w:ilvl w:val="4"/>
          <w:numId w:val="24"/>
        </w:numPr>
        <w:tabs>
          <w:tab w:val="clear" w:pos="1800"/>
        </w:tabs>
        <w:spacing w:after="240"/>
        <w:ind w:left="0" w:firstLine="0"/>
        <w:jc w:val="both"/>
        <w:rPr>
          <w:rFonts w:ascii="Book Antiqua" w:hAnsi="Book Antiqua"/>
          <w:sz w:val="22"/>
          <w:szCs w:val="22"/>
          <w:lang w:val="es-MX"/>
        </w:rPr>
      </w:pPr>
      <w:r w:rsidRPr="003E2563">
        <w:rPr>
          <w:rFonts w:ascii="Book Antiqua" w:hAnsi="Book Antiqua"/>
          <w:sz w:val="22"/>
          <w:szCs w:val="22"/>
          <w:lang w:val="es-MX"/>
        </w:rPr>
        <w:t>Los títulos y encabezados incluidos en este Convenio son sólo para conveniencia y de ninguna manera definirán, limitarán o describirán el alcance o intención (o de otra manera afectar la interpretación) de cualquier disposición de este Convenio.</w:t>
      </w:r>
    </w:p>
    <w:p w14:paraId="5D80DC2F" w14:textId="269D00ED" w:rsidR="00726867" w:rsidRDefault="009B0F47" w:rsidP="00576BF4">
      <w:pPr>
        <w:spacing w:after="240"/>
        <w:jc w:val="both"/>
        <w:rPr>
          <w:rFonts w:ascii="Book Antiqua" w:hAnsi="Book Antiqua"/>
          <w:sz w:val="22"/>
          <w:szCs w:val="22"/>
          <w:lang w:val="es-MX"/>
        </w:rPr>
      </w:pPr>
      <w:r w:rsidRPr="003E2563">
        <w:rPr>
          <w:rFonts w:ascii="Book Antiqua" w:hAnsi="Book Antiqua"/>
          <w:b/>
          <w:bCs/>
          <w:sz w:val="22"/>
          <w:szCs w:val="22"/>
          <w:lang w:val="es-MX"/>
        </w:rPr>
        <w:t>SEGUNDA</w:t>
      </w:r>
      <w:r w:rsidR="00AF5C23" w:rsidRPr="003E2563">
        <w:rPr>
          <w:rFonts w:ascii="Book Antiqua" w:hAnsi="Book Antiqua"/>
          <w:sz w:val="22"/>
          <w:szCs w:val="22"/>
          <w:lang w:val="es-MX"/>
        </w:rPr>
        <w:t xml:space="preserve">. </w:t>
      </w:r>
      <w:r w:rsidR="00AF5C23" w:rsidRPr="003E2563">
        <w:rPr>
          <w:rFonts w:ascii="Book Antiqua" w:hAnsi="Book Antiqua"/>
          <w:sz w:val="22"/>
          <w:szCs w:val="22"/>
          <w:u w:val="single"/>
          <w:lang w:val="es-MX"/>
        </w:rPr>
        <w:t>Cesión</w:t>
      </w:r>
      <w:r w:rsidR="00AF5C23" w:rsidRPr="003E2563">
        <w:rPr>
          <w:rFonts w:ascii="Book Antiqua" w:hAnsi="Book Antiqua"/>
          <w:sz w:val="22"/>
          <w:szCs w:val="22"/>
          <w:lang w:val="es-MX"/>
        </w:rPr>
        <w:t>.</w:t>
      </w:r>
      <w:r w:rsidRPr="003E2563">
        <w:rPr>
          <w:rFonts w:ascii="Book Antiqua" w:hAnsi="Book Antiqua"/>
          <w:sz w:val="22"/>
          <w:szCs w:val="22"/>
          <w:lang w:val="es-MX"/>
        </w:rPr>
        <w:t xml:space="preserve"> </w:t>
      </w:r>
      <w:r w:rsidR="00726867">
        <w:rPr>
          <w:rFonts w:ascii="Book Antiqua" w:hAnsi="Book Antiqua"/>
          <w:sz w:val="22"/>
          <w:szCs w:val="22"/>
          <w:lang w:val="es-MX"/>
        </w:rPr>
        <w:t xml:space="preserve">(a) </w:t>
      </w:r>
      <w:r w:rsidR="00944D07" w:rsidRPr="00944D07">
        <w:rPr>
          <w:rFonts w:ascii="Book Antiqua" w:hAnsi="Book Antiqua"/>
          <w:sz w:val="22"/>
          <w:szCs w:val="22"/>
          <w:lang w:val="es-MX"/>
        </w:rPr>
        <w:t xml:space="preserve">Sujeto a los términos y condiciones del presente Convenio, </w:t>
      </w:r>
      <w:r w:rsidR="00525319">
        <w:rPr>
          <w:rFonts w:ascii="Book Antiqua" w:hAnsi="Book Antiqua"/>
          <w:sz w:val="22"/>
          <w:szCs w:val="22"/>
          <w:lang w:val="es-MX"/>
        </w:rPr>
        <w:t>e</w:t>
      </w:r>
      <w:r w:rsidR="00576BF4" w:rsidRPr="00576BF4">
        <w:rPr>
          <w:rFonts w:ascii="Book Antiqua" w:hAnsi="Book Antiqua"/>
          <w:sz w:val="22"/>
          <w:szCs w:val="22"/>
          <w:lang w:val="es-MX"/>
        </w:rPr>
        <w:t>l Cedente</w:t>
      </w:r>
      <w:r w:rsidR="00726867">
        <w:rPr>
          <w:rFonts w:ascii="Book Antiqua" w:hAnsi="Book Antiqua"/>
          <w:sz w:val="22"/>
          <w:szCs w:val="22"/>
          <w:lang w:val="es-MX"/>
        </w:rPr>
        <w:t xml:space="preserve"> en este acto</w:t>
      </w:r>
      <w:r w:rsidR="00576BF4" w:rsidRPr="00576BF4">
        <w:rPr>
          <w:rFonts w:ascii="Book Antiqua" w:hAnsi="Book Antiqua"/>
          <w:sz w:val="22"/>
          <w:szCs w:val="22"/>
          <w:lang w:val="es-MX"/>
        </w:rPr>
        <w:t xml:space="preserve"> transmite y cede en favor del Cesionario, quien adquiere y acepta</w:t>
      </w:r>
      <w:r w:rsidR="00726867">
        <w:rPr>
          <w:rFonts w:ascii="Book Antiqua" w:hAnsi="Book Antiqua"/>
          <w:sz w:val="22"/>
          <w:szCs w:val="22"/>
          <w:lang w:val="es-MX"/>
        </w:rPr>
        <w:t xml:space="preserve"> del Cedente</w:t>
      </w:r>
      <w:r w:rsidR="00576BF4" w:rsidRPr="00576BF4">
        <w:rPr>
          <w:rFonts w:ascii="Book Antiqua" w:hAnsi="Book Antiqua"/>
          <w:sz w:val="22"/>
          <w:szCs w:val="22"/>
          <w:lang w:val="es-MX"/>
        </w:rPr>
        <w:t xml:space="preserve">, la </w:t>
      </w:r>
      <w:r w:rsidR="00726867">
        <w:rPr>
          <w:rFonts w:ascii="Book Antiqua" w:hAnsi="Book Antiqua"/>
          <w:sz w:val="22"/>
          <w:szCs w:val="22"/>
          <w:lang w:val="es-MX"/>
        </w:rPr>
        <w:t xml:space="preserve">propiedad de </w:t>
      </w:r>
      <w:permStart w:id="537019426" w:edGrp="everyone"/>
      <w:commentRangeStart w:id="9"/>
      <w:r w:rsidR="00B84984" w:rsidRPr="003E2563">
        <w:rPr>
          <w:rFonts w:ascii="Book Antiqua" w:hAnsi="Book Antiqua"/>
          <w:b/>
          <w:bCs/>
          <w:sz w:val="22"/>
          <w:szCs w:val="22"/>
          <w:lang w:val="es-MX"/>
        </w:rPr>
        <w:t>[•]</w:t>
      </w:r>
      <w:r w:rsidR="00726867">
        <w:rPr>
          <w:rFonts w:ascii="Book Antiqua" w:hAnsi="Book Antiqua"/>
          <w:sz w:val="22"/>
          <w:szCs w:val="22"/>
          <w:lang w:val="es-MX"/>
        </w:rPr>
        <w:t xml:space="preserve"> </w:t>
      </w:r>
      <w:commentRangeEnd w:id="9"/>
      <w:r w:rsidR="00B84984">
        <w:rPr>
          <w:rStyle w:val="CommentReference"/>
        </w:rPr>
        <w:commentReference w:id="9"/>
      </w:r>
      <w:permEnd w:id="537019426"/>
      <w:r w:rsidR="00726867">
        <w:rPr>
          <w:rFonts w:ascii="Book Antiqua" w:hAnsi="Book Antiqua"/>
          <w:sz w:val="22"/>
          <w:szCs w:val="22"/>
          <w:lang w:val="es-MX"/>
        </w:rPr>
        <w:t xml:space="preserve">CBFIs Remanente </w:t>
      </w:r>
      <w:r w:rsidR="00576BF4" w:rsidRPr="00576BF4">
        <w:rPr>
          <w:rFonts w:ascii="Book Antiqua" w:hAnsi="Book Antiqua"/>
          <w:sz w:val="22"/>
          <w:szCs w:val="22"/>
          <w:lang w:val="es-MX"/>
        </w:rPr>
        <w:t xml:space="preserve">de los que es </w:t>
      </w:r>
      <w:r w:rsidR="00726867">
        <w:rPr>
          <w:rFonts w:ascii="Book Antiqua" w:hAnsi="Book Antiqua"/>
          <w:sz w:val="22"/>
          <w:szCs w:val="22"/>
          <w:lang w:val="es-MX"/>
        </w:rPr>
        <w:t xml:space="preserve">propietario </w:t>
      </w:r>
      <w:r w:rsidR="00576BF4" w:rsidRPr="00576BF4">
        <w:rPr>
          <w:rFonts w:ascii="Book Antiqua" w:hAnsi="Book Antiqua"/>
          <w:sz w:val="22"/>
          <w:szCs w:val="22"/>
          <w:lang w:val="es-MX"/>
        </w:rPr>
        <w:t>(los “</w:t>
      </w:r>
      <w:r w:rsidR="00576BF4" w:rsidRPr="00EE75BB">
        <w:rPr>
          <w:rFonts w:ascii="Book Antiqua" w:hAnsi="Book Antiqua"/>
          <w:sz w:val="22"/>
          <w:szCs w:val="22"/>
          <w:u w:val="single"/>
          <w:lang w:val="es-MX"/>
        </w:rPr>
        <w:t>CBFIs Cedidos</w:t>
      </w:r>
      <w:r w:rsidR="00576BF4" w:rsidRPr="00576BF4">
        <w:rPr>
          <w:rFonts w:ascii="Book Antiqua" w:hAnsi="Book Antiqua"/>
          <w:sz w:val="22"/>
          <w:szCs w:val="22"/>
          <w:lang w:val="es-MX"/>
        </w:rPr>
        <w:t xml:space="preserve">”), con todos los derechos patrimoniales </w:t>
      </w:r>
      <w:r w:rsidR="00EC6222">
        <w:rPr>
          <w:rFonts w:ascii="Book Antiqua" w:hAnsi="Book Antiqua"/>
          <w:sz w:val="22"/>
          <w:szCs w:val="22"/>
          <w:lang w:val="es-MX"/>
        </w:rPr>
        <w:t xml:space="preserve">y corporativos </w:t>
      </w:r>
      <w:r w:rsidR="00576BF4" w:rsidRPr="00576BF4">
        <w:rPr>
          <w:rFonts w:ascii="Book Antiqua" w:hAnsi="Book Antiqua"/>
          <w:sz w:val="22"/>
          <w:szCs w:val="22"/>
          <w:lang w:val="es-MX"/>
        </w:rPr>
        <w:t>inherentes a los mismos.</w:t>
      </w:r>
      <w:r w:rsidR="00576BF4">
        <w:rPr>
          <w:rFonts w:ascii="Book Antiqua" w:hAnsi="Book Antiqua"/>
          <w:sz w:val="22"/>
          <w:szCs w:val="22"/>
          <w:lang w:val="es-MX"/>
        </w:rPr>
        <w:t xml:space="preserve"> </w:t>
      </w:r>
    </w:p>
    <w:p w14:paraId="338BD1BD" w14:textId="77777777" w:rsidR="00576BF4" w:rsidRPr="00576BF4" w:rsidRDefault="00726867" w:rsidP="00576BF4">
      <w:pPr>
        <w:spacing w:after="240"/>
        <w:jc w:val="both"/>
        <w:rPr>
          <w:rFonts w:ascii="Book Antiqua" w:hAnsi="Book Antiqua"/>
          <w:sz w:val="22"/>
          <w:szCs w:val="22"/>
          <w:lang w:val="es-MX"/>
        </w:rPr>
      </w:pPr>
      <w:r>
        <w:rPr>
          <w:rFonts w:ascii="Book Antiqua" w:hAnsi="Book Antiqua"/>
          <w:sz w:val="22"/>
          <w:szCs w:val="22"/>
          <w:lang w:val="es-MX"/>
        </w:rPr>
        <w:lastRenderedPageBreak/>
        <w:t xml:space="preserve">(b) </w:t>
      </w:r>
      <w:r w:rsidR="00576BF4" w:rsidRPr="00576BF4">
        <w:rPr>
          <w:rFonts w:ascii="Book Antiqua" w:hAnsi="Book Antiqua"/>
          <w:sz w:val="22"/>
          <w:szCs w:val="22"/>
          <w:lang w:val="es-MX"/>
        </w:rPr>
        <w:t xml:space="preserve">Como contraprestación por la cesión de los CBFIs Cedidos, el Cesionario </w:t>
      </w:r>
      <w:r>
        <w:rPr>
          <w:rFonts w:ascii="Book Antiqua" w:hAnsi="Book Antiqua"/>
          <w:sz w:val="22"/>
          <w:szCs w:val="22"/>
          <w:lang w:val="es-MX"/>
        </w:rPr>
        <w:t xml:space="preserve">se obliga a pagar </w:t>
      </w:r>
      <w:r w:rsidR="00576BF4" w:rsidRPr="00576BF4">
        <w:rPr>
          <w:rFonts w:ascii="Book Antiqua" w:hAnsi="Book Antiqua"/>
          <w:sz w:val="22"/>
          <w:szCs w:val="22"/>
          <w:lang w:val="es-MX"/>
        </w:rPr>
        <w:t>al Cedente la cantidad de $</w:t>
      </w:r>
      <w:r w:rsidR="00EC6222">
        <w:rPr>
          <w:rFonts w:ascii="Book Antiqua" w:hAnsi="Book Antiqua"/>
          <w:sz w:val="22"/>
          <w:szCs w:val="22"/>
          <w:lang w:val="es-MX"/>
        </w:rPr>
        <w:t>[</w:t>
      </w:r>
      <w:r w:rsidR="000C7CCF">
        <w:rPr>
          <w:rFonts w:ascii="Book Antiqua" w:hAnsi="Book Antiqua"/>
          <w:sz w:val="22"/>
          <w:szCs w:val="22"/>
          <w:lang w:val="es-MX"/>
        </w:rPr>
        <w:t>•</w:t>
      </w:r>
      <w:r w:rsidR="00EC6222">
        <w:rPr>
          <w:rFonts w:ascii="Book Antiqua" w:hAnsi="Book Antiqua"/>
          <w:sz w:val="22"/>
          <w:szCs w:val="22"/>
          <w:lang w:val="es-MX"/>
        </w:rPr>
        <w:t xml:space="preserve">] </w:t>
      </w:r>
      <w:r w:rsidR="000C7CCF" w:rsidRPr="00576BF4">
        <w:rPr>
          <w:rFonts w:ascii="Book Antiqua" w:hAnsi="Book Antiqua"/>
          <w:sz w:val="22"/>
          <w:szCs w:val="22"/>
          <w:lang w:val="es-MX"/>
        </w:rPr>
        <w:t>(</w:t>
      </w:r>
      <w:r w:rsidR="000C7CCF">
        <w:rPr>
          <w:rFonts w:ascii="Book Antiqua" w:hAnsi="Book Antiqua"/>
          <w:sz w:val="22"/>
          <w:szCs w:val="22"/>
          <w:lang w:val="es-MX"/>
        </w:rPr>
        <w:t>[•]</w:t>
      </w:r>
      <w:r w:rsidR="000C7CCF" w:rsidRPr="00576BF4">
        <w:rPr>
          <w:rFonts w:ascii="Book Antiqua" w:hAnsi="Book Antiqua"/>
          <w:sz w:val="22"/>
          <w:szCs w:val="22"/>
          <w:lang w:val="es-MX"/>
        </w:rPr>
        <w:t xml:space="preserve"> </w:t>
      </w:r>
      <w:r w:rsidR="00525319">
        <w:rPr>
          <w:rFonts w:ascii="Book Antiqua" w:hAnsi="Book Antiqua"/>
          <w:sz w:val="22"/>
          <w:szCs w:val="22"/>
          <w:lang w:val="es-MX"/>
        </w:rPr>
        <w:t>00</w:t>
      </w:r>
      <w:r w:rsidR="000C7CCF" w:rsidRPr="00576BF4">
        <w:rPr>
          <w:rFonts w:ascii="Book Antiqua" w:hAnsi="Book Antiqua"/>
          <w:sz w:val="22"/>
          <w:szCs w:val="22"/>
          <w:lang w:val="es-MX"/>
        </w:rPr>
        <w:t>/100 Moneda Nacional)</w:t>
      </w:r>
      <w:r w:rsidR="00586F85">
        <w:rPr>
          <w:rFonts w:ascii="Book Antiqua" w:hAnsi="Book Antiqua"/>
          <w:sz w:val="22"/>
          <w:szCs w:val="22"/>
          <w:lang w:val="es-MX"/>
        </w:rPr>
        <w:t xml:space="preserve">, cuyo monto es el resultado </w:t>
      </w:r>
      <w:r w:rsidR="00EC6222">
        <w:rPr>
          <w:rFonts w:ascii="Book Antiqua" w:hAnsi="Book Antiqua"/>
          <w:sz w:val="22"/>
          <w:szCs w:val="22"/>
          <w:lang w:val="es-MX"/>
        </w:rPr>
        <w:t xml:space="preserve">de multiplicar </w:t>
      </w:r>
      <w:r w:rsidR="000C7CCF">
        <w:rPr>
          <w:rFonts w:ascii="Book Antiqua" w:hAnsi="Book Antiqua"/>
          <w:sz w:val="22"/>
          <w:szCs w:val="22"/>
          <w:lang w:val="es-MX"/>
        </w:rPr>
        <w:t>$</w:t>
      </w:r>
      <w:r w:rsidR="00EC6222">
        <w:rPr>
          <w:rFonts w:ascii="Book Antiqua" w:hAnsi="Book Antiqua"/>
          <w:sz w:val="22"/>
          <w:szCs w:val="22"/>
          <w:lang w:val="es-MX"/>
        </w:rPr>
        <w:t xml:space="preserve">42.50 por </w:t>
      </w:r>
      <w:r w:rsidR="00525319">
        <w:rPr>
          <w:rFonts w:ascii="Book Antiqua" w:hAnsi="Book Antiqua"/>
          <w:sz w:val="22"/>
          <w:szCs w:val="22"/>
          <w:lang w:val="es-MX"/>
        </w:rPr>
        <w:t xml:space="preserve">el </w:t>
      </w:r>
      <w:r w:rsidR="009B66D1">
        <w:rPr>
          <w:rFonts w:ascii="Book Antiqua" w:hAnsi="Book Antiqua"/>
          <w:sz w:val="22"/>
          <w:szCs w:val="22"/>
          <w:lang w:val="es-MX"/>
        </w:rPr>
        <w:t>número</w:t>
      </w:r>
      <w:r w:rsidR="00EC6222">
        <w:rPr>
          <w:rFonts w:ascii="Book Antiqua" w:hAnsi="Book Antiqua"/>
          <w:sz w:val="22"/>
          <w:szCs w:val="22"/>
          <w:lang w:val="es-MX"/>
        </w:rPr>
        <w:t xml:space="preserve"> de CBFIs</w:t>
      </w:r>
      <w:r w:rsidR="009B66D1">
        <w:rPr>
          <w:rFonts w:ascii="Book Antiqua" w:hAnsi="Book Antiqua"/>
          <w:sz w:val="22"/>
          <w:szCs w:val="22"/>
          <w:lang w:val="es-MX"/>
        </w:rPr>
        <w:t xml:space="preserve"> Cedidos</w:t>
      </w:r>
      <w:r w:rsidR="00EC6222">
        <w:rPr>
          <w:rFonts w:ascii="Book Antiqua" w:hAnsi="Book Antiqua"/>
          <w:sz w:val="22"/>
          <w:szCs w:val="22"/>
          <w:lang w:val="es-MX"/>
        </w:rPr>
        <w:t>.</w:t>
      </w:r>
    </w:p>
    <w:p w14:paraId="15FA1143" w14:textId="77777777" w:rsidR="009B0F47" w:rsidRDefault="00586F85" w:rsidP="00C22BFE">
      <w:pPr>
        <w:spacing w:after="240"/>
        <w:jc w:val="both"/>
        <w:rPr>
          <w:rFonts w:ascii="Book Antiqua" w:hAnsi="Book Antiqua"/>
          <w:sz w:val="22"/>
          <w:szCs w:val="22"/>
          <w:lang w:val="es-MX"/>
        </w:rPr>
      </w:pPr>
      <w:r>
        <w:rPr>
          <w:rFonts w:ascii="Book Antiqua" w:hAnsi="Book Antiqua"/>
          <w:sz w:val="22"/>
          <w:szCs w:val="22"/>
          <w:lang w:val="es-MX"/>
        </w:rPr>
        <w:t xml:space="preserve">(c) </w:t>
      </w:r>
      <w:r w:rsidR="00576BF4" w:rsidRPr="00576BF4">
        <w:rPr>
          <w:rFonts w:ascii="Book Antiqua" w:hAnsi="Book Antiqua"/>
          <w:sz w:val="22"/>
          <w:szCs w:val="22"/>
          <w:lang w:val="es-MX"/>
        </w:rPr>
        <w:t xml:space="preserve">Las </w:t>
      </w:r>
      <w:r>
        <w:rPr>
          <w:rFonts w:ascii="Book Antiqua" w:hAnsi="Book Antiqua"/>
          <w:sz w:val="22"/>
          <w:szCs w:val="22"/>
          <w:lang w:val="es-MX"/>
        </w:rPr>
        <w:t>P</w:t>
      </w:r>
      <w:r w:rsidR="00576BF4" w:rsidRPr="00576BF4">
        <w:rPr>
          <w:rFonts w:ascii="Book Antiqua" w:hAnsi="Book Antiqua"/>
          <w:sz w:val="22"/>
          <w:szCs w:val="22"/>
          <w:lang w:val="es-MX"/>
        </w:rPr>
        <w:t xml:space="preserve">artes acuerdan que la transmisión de los CBFIs Cedidos se realizará mediante </w:t>
      </w:r>
      <w:r w:rsidR="00576BF4" w:rsidRPr="00586F85">
        <w:rPr>
          <w:rFonts w:ascii="Book Antiqua" w:hAnsi="Book Antiqua"/>
          <w:b/>
          <w:bCs/>
          <w:sz w:val="22"/>
          <w:szCs w:val="22"/>
          <w:lang w:val="es-MX"/>
        </w:rPr>
        <w:t xml:space="preserve">traspaso </w:t>
      </w:r>
      <w:r w:rsidRPr="00586F85">
        <w:rPr>
          <w:rFonts w:ascii="Book Antiqua" w:hAnsi="Book Antiqua"/>
          <w:b/>
          <w:bCs/>
          <w:sz w:val="22"/>
          <w:szCs w:val="22"/>
          <w:lang w:val="es-MX"/>
        </w:rPr>
        <w:t>libre de pago</w:t>
      </w:r>
      <w:r>
        <w:rPr>
          <w:rFonts w:ascii="Book Antiqua" w:hAnsi="Book Antiqua"/>
          <w:sz w:val="22"/>
          <w:szCs w:val="22"/>
          <w:lang w:val="es-MX"/>
        </w:rPr>
        <w:t xml:space="preserve"> </w:t>
      </w:r>
      <w:r w:rsidR="00576BF4" w:rsidRPr="00576BF4">
        <w:rPr>
          <w:rFonts w:ascii="Book Antiqua" w:hAnsi="Book Antiqua"/>
          <w:sz w:val="22"/>
          <w:szCs w:val="22"/>
          <w:lang w:val="es-MX"/>
        </w:rPr>
        <w:t>a través del sistema de S.D. Indeval Institución para el Depósito de Valores, S.A. de C.V.</w:t>
      </w:r>
      <w:r w:rsidR="009B66D1">
        <w:rPr>
          <w:rFonts w:ascii="Book Antiqua" w:hAnsi="Book Antiqua"/>
          <w:sz w:val="22"/>
          <w:szCs w:val="22"/>
          <w:lang w:val="es-MX"/>
        </w:rPr>
        <w:t xml:space="preserve"> (el “</w:t>
      </w:r>
      <w:r w:rsidR="009B66D1" w:rsidRPr="00525319">
        <w:rPr>
          <w:rFonts w:ascii="Book Antiqua" w:hAnsi="Book Antiqua"/>
          <w:sz w:val="22"/>
          <w:szCs w:val="22"/>
          <w:u w:val="single"/>
          <w:lang w:val="es-MX"/>
        </w:rPr>
        <w:t>Indeval</w:t>
      </w:r>
      <w:r w:rsidR="009B66D1">
        <w:rPr>
          <w:rFonts w:ascii="Book Antiqua" w:hAnsi="Book Antiqua"/>
          <w:sz w:val="22"/>
          <w:szCs w:val="22"/>
          <w:lang w:val="es-MX"/>
        </w:rPr>
        <w:t>”)</w:t>
      </w:r>
      <w:r w:rsidR="00576BF4" w:rsidRPr="00576BF4">
        <w:rPr>
          <w:rFonts w:ascii="Book Antiqua" w:hAnsi="Book Antiqua"/>
          <w:sz w:val="22"/>
          <w:szCs w:val="22"/>
          <w:lang w:val="es-MX"/>
        </w:rPr>
        <w:t xml:space="preserve">, a la cuenta </w:t>
      </w:r>
      <w:r w:rsidR="009B66D1">
        <w:rPr>
          <w:rFonts w:ascii="Book Antiqua" w:hAnsi="Book Antiqua"/>
          <w:sz w:val="22"/>
          <w:szCs w:val="22"/>
          <w:lang w:val="es-MX"/>
        </w:rPr>
        <w:t>número 1040009 y el cajón de Indeval número 021016780</w:t>
      </w:r>
      <w:r w:rsidR="00576BF4" w:rsidRPr="00576BF4">
        <w:rPr>
          <w:rFonts w:ascii="Book Antiqua" w:hAnsi="Book Antiqua"/>
          <w:sz w:val="22"/>
          <w:szCs w:val="22"/>
          <w:lang w:val="es-MX"/>
        </w:rPr>
        <w:t>. No obstante lo anterior, el pago del Precio Total estará estrictamente condicionado a la transferencia efectiva y liquidación válida de los CBFIs Cedidos en favor del Cesionario, obligándose éste a efectuar el pago mediante transferencia electrónica de fondos a la</w:t>
      </w:r>
      <w:r w:rsidR="00576BF4" w:rsidRPr="009B66D1">
        <w:rPr>
          <w:rFonts w:ascii="Book Antiqua" w:hAnsi="Book Antiqua"/>
          <w:sz w:val="22"/>
          <w:szCs w:val="22"/>
          <w:lang w:val="es-MX"/>
        </w:rPr>
        <w:t xml:space="preserve"> </w:t>
      </w:r>
      <w:r w:rsidR="00CF40D5" w:rsidRPr="00CF40D5">
        <w:rPr>
          <w:rFonts w:ascii="Book Antiqua" w:hAnsi="Book Antiqua"/>
          <w:sz w:val="22"/>
          <w:szCs w:val="22"/>
          <w:lang w:val="es-MX"/>
        </w:rPr>
        <w:t xml:space="preserve">cuenta bancaria señalada por el Cedente en el aviso de venta de CBFIs Remanentes entregado al Cesionario, mismo que se adjunta al presente Convenio como </w:t>
      </w:r>
      <w:r w:rsidR="00CF40D5" w:rsidRPr="00586F85">
        <w:rPr>
          <w:rFonts w:ascii="Book Antiqua" w:hAnsi="Book Antiqua"/>
          <w:b/>
          <w:bCs/>
          <w:sz w:val="22"/>
          <w:szCs w:val="22"/>
          <w:u w:val="single"/>
          <w:lang w:val="es-MX"/>
        </w:rPr>
        <w:t>Anexo “</w:t>
      </w:r>
      <w:r w:rsidRPr="00586F85">
        <w:rPr>
          <w:rFonts w:ascii="Book Antiqua" w:hAnsi="Book Antiqua"/>
          <w:b/>
          <w:bCs/>
          <w:sz w:val="22"/>
          <w:szCs w:val="22"/>
          <w:u w:val="single"/>
          <w:lang w:val="es-MX"/>
        </w:rPr>
        <w:t>C</w:t>
      </w:r>
      <w:r w:rsidR="00CF40D5" w:rsidRPr="00586F85">
        <w:rPr>
          <w:rFonts w:ascii="Book Antiqua" w:hAnsi="Book Antiqua"/>
          <w:b/>
          <w:bCs/>
          <w:sz w:val="22"/>
          <w:szCs w:val="22"/>
          <w:u w:val="single"/>
          <w:lang w:val="es-MX"/>
        </w:rPr>
        <w:t>”</w:t>
      </w:r>
      <w:r w:rsidR="00576BF4" w:rsidRPr="00586F85">
        <w:rPr>
          <w:rFonts w:ascii="Book Antiqua" w:hAnsi="Book Antiqua"/>
          <w:b/>
          <w:bCs/>
          <w:sz w:val="22"/>
          <w:szCs w:val="22"/>
          <w:lang w:val="es-MX"/>
        </w:rPr>
        <w:t>,</w:t>
      </w:r>
      <w:r w:rsidR="00576BF4" w:rsidRPr="00576BF4">
        <w:rPr>
          <w:rFonts w:ascii="Book Antiqua" w:hAnsi="Book Antiqua"/>
          <w:sz w:val="22"/>
          <w:szCs w:val="22"/>
          <w:lang w:val="es-MX"/>
        </w:rPr>
        <w:t xml:space="preserve"> dentro de </w:t>
      </w:r>
      <w:r w:rsidR="00EC6222">
        <w:rPr>
          <w:rFonts w:ascii="Book Antiqua" w:hAnsi="Book Antiqua"/>
          <w:sz w:val="22"/>
          <w:szCs w:val="22"/>
          <w:lang w:val="es-MX"/>
        </w:rPr>
        <w:t>6</w:t>
      </w:r>
      <w:r w:rsidR="00EC6222" w:rsidRPr="00576BF4">
        <w:rPr>
          <w:rFonts w:ascii="Book Antiqua" w:hAnsi="Book Antiqua"/>
          <w:sz w:val="22"/>
          <w:szCs w:val="22"/>
          <w:lang w:val="es-MX"/>
        </w:rPr>
        <w:t xml:space="preserve"> </w:t>
      </w:r>
      <w:r w:rsidR="00576BF4" w:rsidRPr="00576BF4">
        <w:rPr>
          <w:rFonts w:ascii="Book Antiqua" w:hAnsi="Book Antiqua"/>
          <w:sz w:val="22"/>
          <w:szCs w:val="22"/>
          <w:lang w:val="es-MX"/>
        </w:rPr>
        <w:t>Días Hábiles siguientes a la confirmación de dicha transferencia. Las partes se obligan a realizar todos los actos y suscribir todos los documentos adicionales que resulten necesarios para perfeccionar la transmisión aquí prevista.</w:t>
      </w:r>
    </w:p>
    <w:p w14:paraId="3574E366" w14:textId="77777777" w:rsidR="00503901" w:rsidRPr="00EE75BB" w:rsidRDefault="00503901" w:rsidP="00C22BFE">
      <w:pPr>
        <w:spacing w:after="240"/>
        <w:jc w:val="both"/>
        <w:rPr>
          <w:rFonts w:ascii="Book Antiqua" w:hAnsi="Book Antiqua"/>
          <w:sz w:val="22"/>
          <w:szCs w:val="22"/>
          <w:lang w:val="es-MX"/>
        </w:rPr>
      </w:pPr>
      <w:r w:rsidRPr="00613E83">
        <w:rPr>
          <w:rFonts w:ascii="Book Antiqua" w:hAnsi="Book Antiqua"/>
          <w:sz w:val="22"/>
          <w:szCs w:val="22"/>
          <w:lang w:val="es-MX"/>
        </w:rPr>
        <w:t>(d)</w:t>
      </w:r>
      <w:r w:rsidRPr="00503901">
        <w:rPr>
          <w:rFonts w:ascii="Book Antiqua" w:hAnsi="Book Antiqua"/>
          <w:sz w:val="22"/>
          <w:szCs w:val="22"/>
          <w:lang w:val="es-MX"/>
        </w:rPr>
        <w:t xml:space="preserve"> Las Partes reconocen y acuerdan que, </w:t>
      </w:r>
      <w:r w:rsidRPr="00613E83">
        <w:rPr>
          <w:rFonts w:ascii="Book Antiqua" w:hAnsi="Book Antiqua"/>
          <w:sz w:val="22"/>
          <w:szCs w:val="22"/>
          <w:lang w:val="es-MX"/>
        </w:rPr>
        <w:t>en caso de que el régimen fiscal del Cedente requiera la realización de alguna retención de impuestos</w:t>
      </w:r>
      <w:r w:rsidRPr="00503901">
        <w:rPr>
          <w:rFonts w:ascii="Book Antiqua" w:hAnsi="Book Antiqua"/>
          <w:sz w:val="22"/>
          <w:szCs w:val="22"/>
          <w:lang w:val="es-MX"/>
        </w:rPr>
        <w:t>, los pagos efectuados conforme al presente Convenio quedarán sujetos a las retenciones previstas en la Ley del Impuesto sobre la Renta y demás disposiciones fiscales aplicables.</w:t>
      </w:r>
    </w:p>
    <w:p w14:paraId="60449266" w14:textId="77777777" w:rsidR="009B0F47" w:rsidRPr="003E2563" w:rsidRDefault="00C22BFE" w:rsidP="00C22BFE">
      <w:pPr>
        <w:spacing w:after="240"/>
        <w:jc w:val="both"/>
        <w:rPr>
          <w:rFonts w:ascii="Book Antiqua" w:hAnsi="Book Antiqua"/>
          <w:sz w:val="22"/>
          <w:szCs w:val="22"/>
          <w:lang w:val="es-MX"/>
        </w:rPr>
      </w:pPr>
      <w:r w:rsidRPr="003E2563">
        <w:rPr>
          <w:rFonts w:ascii="Book Antiqua" w:hAnsi="Book Antiqua"/>
          <w:b/>
          <w:bCs/>
          <w:sz w:val="22"/>
          <w:szCs w:val="22"/>
          <w:lang w:val="es-MX"/>
        </w:rPr>
        <w:t>TERCERA</w:t>
      </w:r>
      <w:r w:rsidRPr="003E2563">
        <w:rPr>
          <w:rFonts w:ascii="Book Antiqua" w:hAnsi="Book Antiqua"/>
          <w:sz w:val="22"/>
          <w:szCs w:val="22"/>
          <w:lang w:val="es-MX"/>
        </w:rPr>
        <w:t xml:space="preserve">. </w:t>
      </w:r>
      <w:r w:rsidR="00FE76FA" w:rsidRPr="003E2563">
        <w:rPr>
          <w:rFonts w:ascii="Book Antiqua" w:hAnsi="Book Antiqua"/>
          <w:sz w:val="22"/>
          <w:szCs w:val="22"/>
          <w:u w:val="single"/>
          <w:lang w:val="es-MX"/>
        </w:rPr>
        <w:t>Reconocimiento</w:t>
      </w:r>
      <w:r w:rsidR="00FE76FA" w:rsidRPr="003E2563">
        <w:rPr>
          <w:rFonts w:ascii="Book Antiqua" w:hAnsi="Book Antiqua"/>
          <w:sz w:val="22"/>
          <w:szCs w:val="22"/>
          <w:lang w:val="es-MX"/>
        </w:rPr>
        <w:t xml:space="preserve">. </w:t>
      </w:r>
      <w:r w:rsidR="00CB16A5" w:rsidRPr="00CB16A5">
        <w:rPr>
          <w:rFonts w:ascii="Book Antiqua" w:hAnsi="Book Antiqua"/>
          <w:sz w:val="22"/>
          <w:szCs w:val="22"/>
          <w:lang w:val="es-MX"/>
        </w:rPr>
        <w:t xml:space="preserve">Las partes reconocen que, una vez realizada la transferencia efectiva de los CBFIs Cedidos en el sistema de registro correspondiente, el Cesionario será considerado para todos los efectos legales como titular de </w:t>
      </w:r>
      <w:proofErr w:type="gramStart"/>
      <w:r w:rsidR="00CB16A5" w:rsidRPr="00CB16A5">
        <w:rPr>
          <w:rFonts w:ascii="Book Antiqua" w:hAnsi="Book Antiqua"/>
          <w:sz w:val="22"/>
          <w:szCs w:val="22"/>
          <w:lang w:val="es-MX"/>
        </w:rPr>
        <w:t>los mismos</w:t>
      </w:r>
      <w:proofErr w:type="gramEnd"/>
      <w:r w:rsidR="00CB16A5" w:rsidRPr="00CB16A5">
        <w:rPr>
          <w:rFonts w:ascii="Book Antiqua" w:hAnsi="Book Antiqua"/>
          <w:sz w:val="22"/>
          <w:szCs w:val="22"/>
          <w:lang w:val="es-MX"/>
        </w:rPr>
        <w:t xml:space="preserve"> y podrá ejercer todos los derechos patrimoniales y corporativos inherentes a dichos CBFIs</w:t>
      </w:r>
      <w:r w:rsidR="00576BF4" w:rsidRPr="00576BF4">
        <w:rPr>
          <w:rFonts w:ascii="Book Antiqua" w:hAnsi="Book Antiqua"/>
          <w:sz w:val="22"/>
          <w:szCs w:val="22"/>
          <w:lang w:val="es-MX"/>
        </w:rPr>
        <w:t>.</w:t>
      </w:r>
    </w:p>
    <w:p w14:paraId="41B144CC" w14:textId="77777777" w:rsidR="00C22BFE" w:rsidRPr="00861161" w:rsidRDefault="00EE75BB" w:rsidP="00C22BFE">
      <w:pPr>
        <w:spacing w:after="240"/>
        <w:jc w:val="both"/>
        <w:rPr>
          <w:rFonts w:ascii="Book Antiqua" w:hAnsi="Book Antiqua"/>
          <w:sz w:val="22"/>
          <w:szCs w:val="22"/>
          <w:lang w:val="es-MX"/>
        </w:rPr>
      </w:pPr>
      <w:r>
        <w:rPr>
          <w:rFonts w:ascii="Book Antiqua" w:hAnsi="Book Antiqua"/>
          <w:b/>
          <w:bCs/>
          <w:sz w:val="22"/>
          <w:szCs w:val="22"/>
          <w:lang w:val="es-MX"/>
        </w:rPr>
        <w:t>CUARTA</w:t>
      </w:r>
      <w:r w:rsidR="00C22BFE" w:rsidRPr="003E2563">
        <w:rPr>
          <w:rFonts w:ascii="Book Antiqua" w:hAnsi="Book Antiqua"/>
          <w:sz w:val="22"/>
          <w:szCs w:val="22"/>
          <w:lang w:val="es-MX"/>
        </w:rPr>
        <w:t xml:space="preserve">. </w:t>
      </w:r>
      <w:r w:rsidR="00AF5C23" w:rsidRPr="003E2563">
        <w:rPr>
          <w:rFonts w:ascii="Book Antiqua" w:hAnsi="Book Antiqua"/>
          <w:sz w:val="22"/>
          <w:szCs w:val="22"/>
          <w:u w:val="single"/>
          <w:lang w:val="es-MX"/>
        </w:rPr>
        <w:t>Notificaciones</w:t>
      </w:r>
      <w:r w:rsidR="00AF5C23" w:rsidRPr="003E2563">
        <w:rPr>
          <w:rFonts w:ascii="Book Antiqua" w:hAnsi="Book Antiqua"/>
          <w:sz w:val="22"/>
          <w:szCs w:val="22"/>
          <w:lang w:val="es-MX"/>
        </w:rPr>
        <w:t>.</w:t>
      </w:r>
      <w:r w:rsidR="00C22BFE" w:rsidRPr="003E2563">
        <w:rPr>
          <w:rFonts w:ascii="Book Antiqua" w:hAnsi="Book Antiqua"/>
          <w:sz w:val="22"/>
          <w:szCs w:val="22"/>
          <w:lang w:val="es-MX"/>
        </w:rPr>
        <w:t xml:space="preserve"> Todos los avisos, requerimientos y solicitudes realizados o requeridos por, otorgados de conformidad, o relacionados, con el presente Convenio deberán ser por escrito. Todos los avisos se considerarán que fueron debidamente entregados en caso de presentarse: (a) personalmente, con acuse de recibo; o (b) por mensajería especializada, con acuse de recibo; o (c) por correo electrónico con el documento correspondiente adjunto en formato PDF, seguido de la entrega del ejemplar original</w:t>
      </w:r>
      <w:r w:rsidR="00417EDE" w:rsidRPr="003E2563">
        <w:rPr>
          <w:rFonts w:ascii="Book Antiqua" w:hAnsi="Book Antiqua"/>
          <w:sz w:val="22"/>
          <w:szCs w:val="22"/>
          <w:lang w:val="es-MX"/>
        </w:rPr>
        <w:t>, en su caso</w:t>
      </w:r>
      <w:r w:rsidR="00C22BFE" w:rsidRPr="003E2563">
        <w:rPr>
          <w:rFonts w:ascii="Book Antiqua" w:hAnsi="Book Antiqua"/>
          <w:sz w:val="22"/>
          <w:szCs w:val="22"/>
          <w:lang w:val="es-MX"/>
        </w:rPr>
        <w:t xml:space="preserve">. Todos los avisos se presentarán a los siguientes domicilios y números </w:t>
      </w:r>
      <w:r w:rsidR="00AD7D40" w:rsidRPr="003E2563">
        <w:rPr>
          <w:rFonts w:ascii="Book Antiqua" w:hAnsi="Book Antiqua"/>
          <w:sz w:val="22"/>
          <w:szCs w:val="22"/>
          <w:lang w:val="es-MX"/>
        </w:rPr>
        <w:t>telefónicos</w:t>
      </w:r>
      <w:r w:rsidR="00C22BFE" w:rsidRPr="003E2563">
        <w:rPr>
          <w:rFonts w:ascii="Book Antiqua" w:hAnsi="Book Antiqua"/>
          <w:sz w:val="22"/>
          <w:szCs w:val="22"/>
          <w:lang w:val="es-MX"/>
        </w:rPr>
        <w:t xml:space="preserve">, y surtirán efectos al ser recibidos o bien al momento de ser rechazada la entrega según se indique en el </w:t>
      </w:r>
      <w:r w:rsidR="00C22BFE" w:rsidRPr="00861161">
        <w:rPr>
          <w:rFonts w:ascii="Book Antiqua" w:hAnsi="Book Antiqua"/>
          <w:sz w:val="22"/>
          <w:szCs w:val="22"/>
          <w:lang w:val="es-MX"/>
        </w:rPr>
        <w:t>acuse de recibo o en el recibo de la mensajería especializada:</w:t>
      </w:r>
    </w:p>
    <w:p w14:paraId="48A9159C" w14:textId="77777777" w:rsidR="00147952" w:rsidRPr="00861161" w:rsidRDefault="00576BF4" w:rsidP="00C22BFE">
      <w:pPr>
        <w:jc w:val="both"/>
        <w:rPr>
          <w:rFonts w:ascii="Book Antiqua" w:hAnsi="Book Antiqua"/>
          <w:sz w:val="22"/>
          <w:szCs w:val="22"/>
          <w:lang w:val="es-MX"/>
        </w:rPr>
      </w:pPr>
      <w:bookmarkStart w:id="10" w:name="_Hlk17926958"/>
      <w:r w:rsidRPr="00EE75BB">
        <w:rPr>
          <w:rFonts w:ascii="Book Antiqua" w:hAnsi="Book Antiqua"/>
          <w:sz w:val="22"/>
          <w:szCs w:val="22"/>
          <w:u w:val="single"/>
          <w:lang w:val="es-MX"/>
        </w:rPr>
        <w:t>Fibra Prologis</w:t>
      </w:r>
      <w:r w:rsidRPr="00EE75BB">
        <w:rPr>
          <w:rFonts w:ascii="Book Antiqua" w:hAnsi="Book Antiqua"/>
          <w:sz w:val="22"/>
          <w:szCs w:val="22"/>
          <w:lang w:val="es-MX"/>
        </w:rPr>
        <w:t>:</w:t>
      </w:r>
    </w:p>
    <w:p w14:paraId="19AED0CC" w14:textId="77777777" w:rsidR="00C22BFE" w:rsidRPr="00861161" w:rsidRDefault="00C22BFE" w:rsidP="00C22BFE">
      <w:pPr>
        <w:jc w:val="both"/>
        <w:rPr>
          <w:rFonts w:ascii="Book Antiqua" w:hAnsi="Book Antiqua"/>
          <w:sz w:val="22"/>
          <w:szCs w:val="22"/>
          <w:lang w:val="es-MX"/>
        </w:rPr>
      </w:pPr>
    </w:p>
    <w:p w14:paraId="628CF4C1" w14:textId="77777777" w:rsidR="00576BF4" w:rsidRPr="00861161" w:rsidRDefault="00576BF4" w:rsidP="00576BF4">
      <w:pPr>
        <w:jc w:val="both"/>
        <w:rPr>
          <w:rFonts w:ascii="Book Antiqua" w:eastAsia="ヒラギノ角ゴ Pro W3" w:hAnsi="Book Antiqua"/>
          <w:bCs/>
          <w:iCs/>
          <w:color w:val="000000"/>
          <w:sz w:val="22"/>
          <w:szCs w:val="22"/>
          <w:lang w:val="es-MX" w:eastAsia="es-MX"/>
        </w:rPr>
      </w:pPr>
      <w:r w:rsidRPr="00861161">
        <w:rPr>
          <w:rFonts w:ascii="Book Antiqua" w:eastAsia="ヒラギノ角ゴ Pro W3" w:hAnsi="Book Antiqua"/>
          <w:bCs/>
          <w:iCs/>
          <w:color w:val="000000"/>
          <w:sz w:val="22"/>
          <w:szCs w:val="22"/>
          <w:lang w:val="es-MX" w:eastAsia="es-MX"/>
        </w:rPr>
        <w:t>Banco Actinver, S.A., Institución de Banca Múltiple, Grupo Financiero Actinver</w:t>
      </w:r>
    </w:p>
    <w:p w14:paraId="5496775D" w14:textId="77777777" w:rsidR="00576BF4" w:rsidRPr="00861161" w:rsidRDefault="00576BF4" w:rsidP="00576BF4">
      <w:pPr>
        <w:jc w:val="both"/>
        <w:rPr>
          <w:rFonts w:ascii="Book Antiqua" w:eastAsia="ヒラギノ角ゴ Pro W3" w:hAnsi="Book Antiqua"/>
          <w:bCs/>
          <w:iCs/>
          <w:color w:val="000000"/>
          <w:sz w:val="22"/>
          <w:szCs w:val="22"/>
          <w:lang w:val="es-MX" w:eastAsia="es-MX"/>
        </w:rPr>
      </w:pPr>
      <w:r w:rsidRPr="00861161">
        <w:rPr>
          <w:rFonts w:ascii="Book Antiqua" w:eastAsia="ヒラギノ角ゴ Pro W3" w:hAnsi="Book Antiqua"/>
          <w:bCs/>
          <w:iCs/>
          <w:color w:val="000000"/>
          <w:sz w:val="22"/>
          <w:szCs w:val="22"/>
          <w:lang w:val="es-MX" w:eastAsia="es-MX"/>
        </w:rPr>
        <w:t>Montes Urales No. 620, piso 1,</w:t>
      </w:r>
    </w:p>
    <w:p w14:paraId="2B6E102A" w14:textId="77777777" w:rsidR="00576BF4" w:rsidRPr="00861161" w:rsidRDefault="00576BF4" w:rsidP="00576BF4">
      <w:pPr>
        <w:jc w:val="both"/>
        <w:rPr>
          <w:rFonts w:ascii="Book Antiqua" w:eastAsia="ヒラギノ角ゴ Pro W3" w:hAnsi="Book Antiqua"/>
          <w:bCs/>
          <w:iCs/>
          <w:color w:val="000000"/>
          <w:sz w:val="22"/>
          <w:szCs w:val="22"/>
          <w:lang w:val="es-MX" w:eastAsia="es-MX"/>
        </w:rPr>
      </w:pPr>
      <w:r w:rsidRPr="00861161">
        <w:rPr>
          <w:rFonts w:ascii="Book Antiqua" w:eastAsia="ヒラギノ角ゴ Pro W3" w:hAnsi="Book Antiqua"/>
          <w:bCs/>
          <w:iCs/>
          <w:color w:val="000000"/>
          <w:sz w:val="22"/>
          <w:szCs w:val="22"/>
          <w:lang w:val="es-MX" w:eastAsia="es-MX"/>
        </w:rPr>
        <w:t>Lomas de Chapultepec, 11000</w:t>
      </w:r>
    </w:p>
    <w:p w14:paraId="386EEBE2" w14:textId="77777777" w:rsidR="00576BF4" w:rsidRPr="00861161" w:rsidRDefault="00576BF4" w:rsidP="00576BF4">
      <w:pPr>
        <w:jc w:val="both"/>
        <w:rPr>
          <w:rFonts w:ascii="Book Antiqua" w:eastAsia="ヒラギノ角ゴ Pro W3" w:hAnsi="Book Antiqua"/>
          <w:bCs/>
          <w:iCs/>
          <w:color w:val="000000"/>
          <w:sz w:val="22"/>
          <w:szCs w:val="22"/>
          <w:lang w:val="es-MX" w:eastAsia="es-MX"/>
        </w:rPr>
      </w:pPr>
      <w:r w:rsidRPr="00861161">
        <w:rPr>
          <w:rFonts w:ascii="Book Antiqua" w:eastAsia="ヒラギノ角ゴ Pro W3" w:hAnsi="Book Antiqua"/>
          <w:bCs/>
          <w:iCs/>
          <w:color w:val="000000"/>
          <w:sz w:val="22"/>
          <w:szCs w:val="22"/>
          <w:lang w:val="es-MX" w:eastAsia="es-MX"/>
        </w:rPr>
        <w:t>Ciudad de México.</w:t>
      </w:r>
    </w:p>
    <w:p w14:paraId="6EB891F3" w14:textId="31C270A8" w:rsidR="001D5556" w:rsidRPr="00861161" w:rsidRDefault="00576BF4" w:rsidP="001D5556">
      <w:pPr>
        <w:jc w:val="both"/>
        <w:rPr>
          <w:rFonts w:ascii="Book Antiqua" w:eastAsia="ヒラギノ角ゴ Pro W3" w:hAnsi="Book Antiqua"/>
          <w:bCs/>
          <w:iCs/>
          <w:color w:val="000000"/>
          <w:sz w:val="22"/>
          <w:szCs w:val="22"/>
          <w:lang w:val="es-MX" w:eastAsia="es-MX"/>
        </w:rPr>
      </w:pPr>
      <w:r w:rsidRPr="00861161">
        <w:rPr>
          <w:rFonts w:ascii="Book Antiqua" w:eastAsia="ヒラギノ角ゴ Pro W3" w:hAnsi="Book Antiqua"/>
          <w:bCs/>
          <w:iCs/>
          <w:color w:val="000000"/>
          <w:sz w:val="22"/>
          <w:szCs w:val="22"/>
          <w:lang w:val="es-MX" w:eastAsia="es-MX"/>
        </w:rPr>
        <w:t xml:space="preserve">Atención: Mauricio Rangel Laisequilla / Sheyla García Guerra </w:t>
      </w:r>
    </w:p>
    <w:p w14:paraId="39C40426" w14:textId="77777777" w:rsidR="00147952" w:rsidRPr="00861161" w:rsidRDefault="00576BF4" w:rsidP="00576BF4">
      <w:pPr>
        <w:pStyle w:val="Sangra3det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0"/>
        <w:ind w:left="0"/>
        <w:jc w:val="left"/>
        <w:rPr>
          <w:rFonts w:ascii="Book Antiqua" w:hAnsi="Book Antiqua" w:cs="Arial"/>
          <w:color w:val="auto"/>
          <w:sz w:val="22"/>
          <w:szCs w:val="22"/>
          <w:lang w:val="es-MX"/>
        </w:rPr>
      </w:pPr>
      <w:r w:rsidRPr="00861161">
        <w:rPr>
          <w:rFonts w:ascii="Book Antiqua" w:hAnsi="Book Antiqua"/>
          <w:bCs/>
          <w:iCs/>
          <w:sz w:val="22"/>
          <w:szCs w:val="22"/>
          <w:lang w:val="es-MX"/>
        </w:rPr>
        <w:t>Correo electrónico: mrangell@actinver.com.mx / sgarciag@actinver.com.mx / bmartinezc@actinver.com.mx / fiduciarioadm@actinver.com.mx</w:t>
      </w:r>
      <w:r w:rsidRPr="00EE75BB" w:rsidDel="00576BF4">
        <w:rPr>
          <w:rFonts w:ascii="Book Antiqua" w:hAnsi="Book Antiqua"/>
          <w:bCs/>
          <w:iCs/>
          <w:sz w:val="22"/>
          <w:szCs w:val="22"/>
          <w:lang w:val="es-MX"/>
        </w:rPr>
        <w:t xml:space="preserve"> </w:t>
      </w:r>
      <w:r w:rsidR="00147952" w:rsidRPr="00861161">
        <w:rPr>
          <w:rFonts w:ascii="Book Antiqua" w:hAnsi="Book Antiqua" w:cs="Arial"/>
          <w:color w:val="auto"/>
          <w:sz w:val="22"/>
          <w:szCs w:val="22"/>
          <w:lang w:val="es-MX"/>
        </w:rPr>
        <w:t xml:space="preserve"> </w:t>
      </w:r>
    </w:p>
    <w:p w14:paraId="2FDFFCCC" w14:textId="77777777" w:rsidR="00C22BFE" w:rsidRPr="00861161" w:rsidRDefault="00C22BFE" w:rsidP="00C22BFE">
      <w:pPr>
        <w:jc w:val="both"/>
        <w:rPr>
          <w:rFonts w:ascii="Book Antiqua" w:hAnsi="Book Antiqua"/>
          <w:sz w:val="22"/>
          <w:szCs w:val="22"/>
          <w:lang w:val="es-MX"/>
        </w:rPr>
      </w:pPr>
    </w:p>
    <w:p w14:paraId="3EF1F387" w14:textId="4FD4FFEA" w:rsidR="00C22BFE" w:rsidRPr="00861161" w:rsidRDefault="00576BF4" w:rsidP="00C22BFE">
      <w:pPr>
        <w:pStyle w:val="Text"/>
        <w:spacing w:after="0"/>
        <w:rPr>
          <w:rFonts w:ascii="Book Antiqua" w:hAnsi="Book Antiqua" w:cs="Arial"/>
          <w:sz w:val="22"/>
          <w:szCs w:val="22"/>
          <w:u w:val="single"/>
          <w:lang w:val="es-MX" w:eastAsia="es-ES"/>
        </w:rPr>
      </w:pPr>
      <w:commentRangeStart w:id="11"/>
      <w:proofErr w:type="gramStart"/>
      <w:r w:rsidRPr="00EE75BB">
        <w:rPr>
          <w:rFonts w:ascii="Book Antiqua" w:hAnsi="Book Antiqua" w:cs="Arial"/>
          <w:sz w:val="22"/>
          <w:szCs w:val="22"/>
          <w:u w:val="single"/>
          <w:lang w:val="es-MX" w:eastAsia="es-ES"/>
        </w:rPr>
        <w:t>Tenedor</w:t>
      </w:r>
      <w:r w:rsidR="00C22BFE" w:rsidRPr="00861161">
        <w:rPr>
          <w:rFonts w:ascii="Book Antiqua" w:hAnsi="Book Antiqua" w:cs="Arial"/>
          <w:sz w:val="22"/>
          <w:szCs w:val="22"/>
          <w:lang w:val="es-MX" w:eastAsia="es-ES"/>
        </w:rPr>
        <w:t>:</w:t>
      </w:r>
      <w:permStart w:id="1802468075" w:edGrp="everyone"/>
      <w:r w:rsidR="00613E83">
        <w:rPr>
          <w:rFonts w:ascii="Book Antiqua" w:hAnsi="Book Antiqua" w:cs="Arial"/>
          <w:sz w:val="22"/>
          <w:szCs w:val="22"/>
          <w:lang w:val="es-MX" w:eastAsia="es-ES"/>
        </w:rPr>
        <w:t>[</w:t>
      </w:r>
      <w:proofErr w:type="gramEnd"/>
      <w:r w:rsidR="00613E83">
        <w:rPr>
          <w:rFonts w:ascii="Book Antiqua" w:hAnsi="Book Antiqua" w:cs="Arial"/>
          <w:sz w:val="22"/>
          <w:szCs w:val="22"/>
          <w:lang w:val="es-MX" w:eastAsia="es-ES"/>
        </w:rPr>
        <w:t>*]</w:t>
      </w:r>
      <w:permEnd w:id="1802468075"/>
    </w:p>
    <w:p w14:paraId="63185E94" w14:textId="7728FFDE" w:rsidR="00C22BFE" w:rsidRPr="00861161" w:rsidRDefault="00861161" w:rsidP="00C22BFE">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0"/>
        <w:rPr>
          <w:rFonts w:ascii="Book Antiqua" w:hAnsi="Book Antiqua"/>
          <w:sz w:val="22"/>
          <w:szCs w:val="22"/>
          <w:lang w:val="es-MX"/>
        </w:rPr>
      </w:pPr>
      <w:r w:rsidRPr="00EE75BB">
        <w:rPr>
          <w:rFonts w:ascii="Book Antiqua" w:hAnsi="Book Antiqua"/>
          <w:sz w:val="22"/>
          <w:szCs w:val="22"/>
          <w:lang w:val="es-MX"/>
        </w:rPr>
        <w:t xml:space="preserve">Nombre: </w:t>
      </w:r>
      <w:permStart w:id="368392135" w:edGrp="everyone"/>
      <w:r w:rsidR="00613E83">
        <w:rPr>
          <w:rFonts w:ascii="Book Antiqua" w:hAnsi="Book Antiqua"/>
          <w:sz w:val="22"/>
          <w:szCs w:val="22"/>
          <w:lang w:val="es-MX"/>
        </w:rPr>
        <w:t>[*]</w:t>
      </w:r>
      <w:permEnd w:id="368392135"/>
    </w:p>
    <w:p w14:paraId="38F13A1E" w14:textId="77777777" w:rsidR="00576BF4" w:rsidRPr="00861161" w:rsidRDefault="00576BF4" w:rsidP="00576BF4">
      <w:pPr>
        <w:jc w:val="both"/>
        <w:rPr>
          <w:rFonts w:ascii="Book Antiqua" w:eastAsia="ヒラギノ角ゴ Pro W3" w:hAnsi="Book Antiqua"/>
          <w:bCs/>
          <w:iCs/>
          <w:color w:val="000000"/>
          <w:sz w:val="22"/>
          <w:szCs w:val="22"/>
          <w:lang w:val="es-MX" w:eastAsia="es-MX"/>
        </w:rPr>
      </w:pPr>
      <w:permStart w:id="1929659902" w:edGrp="everyone"/>
      <w:r w:rsidRPr="00861161">
        <w:rPr>
          <w:rFonts w:ascii="Book Antiqua" w:eastAsia="ヒラギノ角ゴ Pro W3" w:hAnsi="Book Antiqua"/>
          <w:bCs/>
          <w:iCs/>
          <w:color w:val="000000"/>
          <w:sz w:val="22"/>
          <w:szCs w:val="22"/>
          <w:lang w:val="es-MX" w:eastAsia="es-MX"/>
        </w:rPr>
        <w:t>[Dirección</w:t>
      </w:r>
      <w:permEnd w:id="1929659902"/>
      <w:r w:rsidRPr="00861161">
        <w:rPr>
          <w:rFonts w:ascii="Book Antiqua" w:eastAsia="ヒラギノ角ゴ Pro W3" w:hAnsi="Book Antiqua"/>
          <w:bCs/>
          <w:iCs/>
          <w:color w:val="000000"/>
          <w:sz w:val="22"/>
          <w:szCs w:val="22"/>
          <w:lang w:val="es-MX" w:eastAsia="es-MX"/>
        </w:rPr>
        <w:t>].</w:t>
      </w:r>
    </w:p>
    <w:p w14:paraId="194F6F63" w14:textId="77777777" w:rsidR="00576BF4" w:rsidRPr="00861161" w:rsidRDefault="00576BF4" w:rsidP="00576BF4">
      <w:pPr>
        <w:jc w:val="both"/>
        <w:rPr>
          <w:rFonts w:ascii="Book Antiqua" w:eastAsia="ヒラギノ角ゴ Pro W3" w:hAnsi="Book Antiqua"/>
          <w:bCs/>
          <w:iCs/>
          <w:color w:val="000000"/>
          <w:sz w:val="22"/>
          <w:szCs w:val="22"/>
          <w:lang w:val="es-MX" w:eastAsia="es-MX"/>
        </w:rPr>
      </w:pPr>
      <w:r w:rsidRPr="00861161">
        <w:rPr>
          <w:rFonts w:ascii="Book Antiqua" w:eastAsia="ヒラギノ角ゴ Pro W3" w:hAnsi="Book Antiqua"/>
          <w:bCs/>
          <w:iCs/>
          <w:color w:val="000000"/>
          <w:sz w:val="22"/>
          <w:szCs w:val="22"/>
          <w:lang w:val="es-MX" w:eastAsia="es-MX"/>
        </w:rPr>
        <w:t xml:space="preserve">Atención: </w:t>
      </w:r>
      <w:permStart w:id="729046913" w:edGrp="everyone"/>
      <w:r w:rsidRPr="00861161">
        <w:rPr>
          <w:rFonts w:ascii="Book Antiqua" w:eastAsia="ヒラギノ角ゴ Pro W3" w:hAnsi="Book Antiqua"/>
          <w:bCs/>
          <w:iCs/>
          <w:color w:val="000000"/>
          <w:sz w:val="22"/>
          <w:szCs w:val="22"/>
          <w:lang w:val="es-MX" w:eastAsia="es-MX"/>
        </w:rPr>
        <w:t>[Nombre Completo]</w:t>
      </w:r>
      <w:permEnd w:id="729046913"/>
    </w:p>
    <w:p w14:paraId="1770DE51" w14:textId="77777777" w:rsidR="00576BF4" w:rsidRPr="00861161" w:rsidRDefault="00576BF4" w:rsidP="00576BF4">
      <w:pPr>
        <w:jc w:val="both"/>
        <w:rPr>
          <w:rFonts w:ascii="Book Antiqua" w:eastAsia="ヒラギノ角ゴ Pro W3" w:hAnsi="Book Antiqua"/>
          <w:bCs/>
          <w:iCs/>
          <w:color w:val="000000"/>
          <w:sz w:val="22"/>
          <w:szCs w:val="22"/>
          <w:lang w:val="es-MX" w:eastAsia="es-MX"/>
        </w:rPr>
      </w:pPr>
      <w:r w:rsidRPr="00861161">
        <w:rPr>
          <w:rFonts w:ascii="Book Antiqua" w:eastAsia="ヒラギノ角ゴ Pro W3" w:hAnsi="Book Antiqua"/>
          <w:bCs/>
          <w:iCs/>
          <w:color w:val="000000"/>
          <w:sz w:val="22"/>
          <w:szCs w:val="22"/>
          <w:lang w:val="es-MX" w:eastAsia="es-MX"/>
        </w:rPr>
        <w:lastRenderedPageBreak/>
        <w:t xml:space="preserve">Teléfono: </w:t>
      </w:r>
      <w:permStart w:id="1255094634" w:edGrp="everyone"/>
      <w:r w:rsidRPr="00861161">
        <w:rPr>
          <w:rFonts w:ascii="Book Antiqua" w:eastAsia="ヒラギノ角ゴ Pro W3" w:hAnsi="Book Antiqua"/>
          <w:bCs/>
          <w:iCs/>
          <w:color w:val="000000"/>
          <w:sz w:val="22"/>
          <w:szCs w:val="22"/>
          <w:lang w:val="es-MX" w:eastAsia="es-MX"/>
        </w:rPr>
        <w:t>[•]</w:t>
      </w:r>
      <w:permEnd w:id="1255094634"/>
    </w:p>
    <w:p w14:paraId="600D897D" w14:textId="77777777" w:rsidR="00576BF4" w:rsidRPr="00EE75BB" w:rsidRDefault="00576BF4" w:rsidP="00576BF4">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0"/>
        <w:rPr>
          <w:rFonts w:ascii="Book Antiqua" w:hAnsi="Book Antiqua"/>
          <w:sz w:val="22"/>
          <w:szCs w:val="22"/>
          <w:highlight w:val="yellow"/>
          <w:lang w:val="es-MX"/>
        </w:rPr>
      </w:pPr>
      <w:r w:rsidRPr="00861161">
        <w:rPr>
          <w:rFonts w:ascii="Book Antiqua" w:hAnsi="Book Antiqua"/>
          <w:bCs/>
          <w:iCs/>
          <w:sz w:val="22"/>
          <w:szCs w:val="22"/>
          <w:lang w:val="es-MX"/>
        </w:rPr>
        <w:t>Correo electrónico</w:t>
      </w:r>
      <w:r w:rsidRPr="00576BF4">
        <w:rPr>
          <w:rFonts w:ascii="Book Antiqua" w:hAnsi="Book Antiqua"/>
          <w:bCs/>
          <w:iCs/>
          <w:sz w:val="22"/>
          <w:szCs w:val="22"/>
          <w:lang w:val="es-MX"/>
        </w:rPr>
        <w:t xml:space="preserve">: </w:t>
      </w:r>
      <w:permStart w:id="981805710" w:edGrp="everyone"/>
      <w:r>
        <w:rPr>
          <w:rFonts w:ascii="Book Antiqua" w:hAnsi="Book Antiqua"/>
          <w:bCs/>
          <w:iCs/>
          <w:sz w:val="22"/>
          <w:szCs w:val="22"/>
          <w:lang w:val="es-MX"/>
        </w:rPr>
        <w:t>[•]</w:t>
      </w:r>
      <w:commentRangeEnd w:id="11"/>
      <w:r w:rsidR="003337F9">
        <w:rPr>
          <w:rStyle w:val="CommentReference"/>
          <w:rFonts w:eastAsia="Times New Roman"/>
          <w:color w:val="auto"/>
          <w:lang w:val="es-ES" w:eastAsia="es-ES"/>
        </w:rPr>
        <w:commentReference w:id="11"/>
      </w:r>
      <w:permEnd w:id="981805710"/>
    </w:p>
    <w:p w14:paraId="026065DE" w14:textId="77777777" w:rsidR="00C22BFE" w:rsidRPr="00EE75BB" w:rsidRDefault="00C22BFE" w:rsidP="00C22BFE">
      <w:pPr>
        <w:jc w:val="both"/>
        <w:rPr>
          <w:rFonts w:ascii="Book Antiqua" w:hAnsi="Book Antiqua"/>
          <w:sz w:val="22"/>
          <w:szCs w:val="22"/>
          <w:highlight w:val="yellow"/>
          <w:lang w:val="es-MX"/>
        </w:rPr>
      </w:pPr>
    </w:p>
    <w:bookmarkEnd w:id="10"/>
    <w:p w14:paraId="4730A6E0" w14:textId="77777777" w:rsidR="00C453A5" w:rsidRPr="003E2563" w:rsidRDefault="00EE75BB" w:rsidP="00A84E49">
      <w:pPr>
        <w:spacing w:after="240"/>
        <w:jc w:val="both"/>
        <w:rPr>
          <w:rFonts w:ascii="Book Antiqua" w:hAnsi="Book Antiqua"/>
          <w:sz w:val="22"/>
          <w:szCs w:val="22"/>
          <w:lang w:val="es-MX"/>
        </w:rPr>
      </w:pPr>
      <w:r w:rsidRPr="00EE75BB">
        <w:rPr>
          <w:rFonts w:ascii="Book Antiqua" w:hAnsi="Book Antiqua"/>
          <w:b/>
          <w:bCs/>
          <w:sz w:val="22"/>
          <w:szCs w:val="22"/>
          <w:u w:val="single"/>
          <w:lang w:val="es-MX"/>
        </w:rPr>
        <w:t>QUINTA</w:t>
      </w:r>
      <w:r w:rsidR="00C453A5" w:rsidRPr="003E2563">
        <w:rPr>
          <w:rFonts w:ascii="Book Antiqua" w:hAnsi="Book Antiqua"/>
          <w:bCs/>
          <w:sz w:val="22"/>
          <w:szCs w:val="22"/>
          <w:lang w:val="es-MX"/>
        </w:rPr>
        <w:t xml:space="preserve">. </w:t>
      </w:r>
      <w:r w:rsidR="00C453A5" w:rsidRPr="003E2563">
        <w:rPr>
          <w:rFonts w:ascii="Book Antiqua" w:hAnsi="Book Antiqua"/>
          <w:sz w:val="22"/>
          <w:szCs w:val="22"/>
          <w:u w:val="single"/>
          <w:lang w:val="es-MX"/>
        </w:rPr>
        <w:t>Gastos y Costos</w:t>
      </w:r>
      <w:r w:rsidR="00C453A5" w:rsidRPr="003E2563">
        <w:rPr>
          <w:rFonts w:ascii="Book Antiqua" w:hAnsi="Book Antiqua"/>
          <w:sz w:val="22"/>
          <w:szCs w:val="22"/>
          <w:lang w:val="es-MX"/>
        </w:rPr>
        <w:t xml:space="preserve">. </w:t>
      </w:r>
      <w:r w:rsidR="00CB16A5" w:rsidRPr="00CB16A5">
        <w:rPr>
          <w:rFonts w:ascii="Book Antiqua" w:hAnsi="Book Antiqua"/>
          <w:sz w:val="22"/>
          <w:szCs w:val="22"/>
          <w:lang w:val="es-MX"/>
        </w:rPr>
        <w:t>Cada una de las partes será responsable del pago de sus propios gastos, honorarios, costos y erogaciones en que incurra con motivo de la negociación, celebración y ejecución del presente Convenio, incluyendo, sin limitar, honorarios legales y gastos administrativos que les correspondan</w:t>
      </w:r>
      <w:r w:rsidR="00CB16A5">
        <w:rPr>
          <w:rFonts w:ascii="Book Antiqua" w:hAnsi="Book Antiqua"/>
          <w:sz w:val="22"/>
          <w:szCs w:val="22"/>
          <w:lang w:val="es-MX"/>
        </w:rPr>
        <w:t>.</w:t>
      </w:r>
    </w:p>
    <w:p w14:paraId="307EC62E" w14:textId="77777777" w:rsidR="00C453A5" w:rsidRPr="003E2563" w:rsidRDefault="00EE75BB" w:rsidP="00C453A5">
      <w:pPr>
        <w:spacing w:after="240"/>
        <w:jc w:val="both"/>
        <w:rPr>
          <w:rFonts w:ascii="Book Antiqua" w:hAnsi="Book Antiqua"/>
          <w:sz w:val="22"/>
          <w:szCs w:val="22"/>
          <w:lang w:val="es-MX"/>
        </w:rPr>
      </w:pPr>
      <w:r>
        <w:rPr>
          <w:rFonts w:ascii="Book Antiqua" w:hAnsi="Book Antiqua"/>
          <w:b/>
          <w:bCs/>
          <w:sz w:val="22"/>
          <w:szCs w:val="22"/>
          <w:lang w:val="es-MX"/>
        </w:rPr>
        <w:t>SEXTA</w:t>
      </w:r>
      <w:r w:rsidR="00C453A5" w:rsidRPr="003E2563">
        <w:rPr>
          <w:rFonts w:ascii="Book Antiqua" w:hAnsi="Book Antiqua"/>
          <w:sz w:val="22"/>
          <w:szCs w:val="22"/>
          <w:lang w:val="es-MX"/>
        </w:rPr>
        <w:t xml:space="preserve">. </w:t>
      </w:r>
      <w:r w:rsidR="00C453A5" w:rsidRPr="003E2563">
        <w:rPr>
          <w:rFonts w:ascii="Book Antiqua" w:hAnsi="Book Antiqua"/>
          <w:sz w:val="22"/>
          <w:szCs w:val="22"/>
          <w:u w:val="single"/>
          <w:lang w:val="es-MX"/>
        </w:rPr>
        <w:t>Divisibilidad</w:t>
      </w:r>
      <w:r w:rsidR="00C453A5" w:rsidRPr="003E2563">
        <w:rPr>
          <w:rFonts w:ascii="Book Antiqua" w:hAnsi="Book Antiqua"/>
          <w:sz w:val="22"/>
          <w:szCs w:val="22"/>
          <w:lang w:val="es-MX"/>
        </w:rPr>
        <w:t xml:space="preserve">. En caso de que cualquier disposición de este Convenio o cualquier parte de </w:t>
      </w:r>
      <w:proofErr w:type="gramStart"/>
      <w:r w:rsidR="00C453A5" w:rsidRPr="003E2563">
        <w:rPr>
          <w:rFonts w:ascii="Book Antiqua" w:hAnsi="Book Antiqua"/>
          <w:sz w:val="22"/>
          <w:szCs w:val="22"/>
          <w:lang w:val="es-MX"/>
        </w:rPr>
        <w:t>la misma</w:t>
      </w:r>
      <w:proofErr w:type="gramEnd"/>
      <w:r w:rsidR="00C453A5" w:rsidRPr="003E2563">
        <w:rPr>
          <w:rFonts w:ascii="Book Antiqua" w:hAnsi="Book Antiqua"/>
          <w:sz w:val="22"/>
          <w:szCs w:val="22"/>
          <w:lang w:val="es-MX"/>
        </w:rPr>
        <w:t xml:space="preserve"> sea declarada inválida, ilegal o inexigible por cualquier tribunal competente, el resto de dicha disposición y las demás disposiciones de este Convenio continuará en pleno vigor y efecto, y ninguna disposición del presente Convenio será dependiente de cualquier otra disposición, y la validez, legalidad o exigibilidad de las demás disposiciones de este Convenio de ninguna manera se verán afectadas.</w:t>
      </w:r>
    </w:p>
    <w:p w14:paraId="0A85A549" w14:textId="77777777" w:rsidR="00C453A5" w:rsidRPr="003E2563" w:rsidRDefault="00EE75BB" w:rsidP="00C453A5">
      <w:pPr>
        <w:spacing w:after="240"/>
        <w:jc w:val="both"/>
        <w:rPr>
          <w:rFonts w:ascii="Book Antiqua" w:hAnsi="Book Antiqua"/>
          <w:sz w:val="22"/>
          <w:szCs w:val="22"/>
          <w:lang w:val="es-MX"/>
        </w:rPr>
      </w:pPr>
      <w:r>
        <w:rPr>
          <w:rFonts w:ascii="Book Antiqua" w:hAnsi="Book Antiqua"/>
          <w:b/>
          <w:bCs/>
          <w:sz w:val="22"/>
          <w:szCs w:val="22"/>
          <w:lang w:val="es-MX"/>
        </w:rPr>
        <w:t>SÉPTIMA</w:t>
      </w:r>
      <w:r w:rsidR="00C453A5" w:rsidRPr="003E2563">
        <w:rPr>
          <w:rFonts w:ascii="Book Antiqua" w:hAnsi="Book Antiqua"/>
          <w:sz w:val="22"/>
          <w:szCs w:val="22"/>
          <w:lang w:val="es-MX"/>
        </w:rPr>
        <w:t xml:space="preserve">. </w:t>
      </w:r>
      <w:r w:rsidR="00C453A5" w:rsidRPr="003E2563">
        <w:rPr>
          <w:rFonts w:ascii="Book Antiqua" w:hAnsi="Book Antiqua"/>
          <w:sz w:val="22"/>
          <w:szCs w:val="22"/>
          <w:u w:val="single"/>
          <w:lang w:val="es-MX"/>
        </w:rPr>
        <w:t>Modificaciones</w:t>
      </w:r>
      <w:r w:rsidR="00C453A5" w:rsidRPr="003E2563">
        <w:rPr>
          <w:rFonts w:ascii="Book Antiqua" w:hAnsi="Book Antiqua"/>
          <w:sz w:val="22"/>
          <w:szCs w:val="22"/>
          <w:lang w:val="es-MX"/>
        </w:rPr>
        <w:t>. Ninguna modificación a cualquier disposición de este Convenio surtirá efecto alguno, salvo que dicha modificación se realice por escrito firmado por cada una de las partes, y dichas modificaciones únicamente serán válidas en relación con el caso específico y exclusivamente para los efectos que se señalen en los mismos.</w:t>
      </w:r>
    </w:p>
    <w:p w14:paraId="44229B70" w14:textId="77777777" w:rsidR="00AF5C23" w:rsidRPr="003E2563" w:rsidRDefault="00EE75BB" w:rsidP="00426FAA">
      <w:pPr>
        <w:pStyle w:val="Sangra3detindependiente1"/>
        <w:spacing w:after="240"/>
        <w:ind w:left="0"/>
        <w:rPr>
          <w:rFonts w:ascii="Book Antiqua" w:hAnsi="Book Antiqua"/>
          <w:sz w:val="22"/>
          <w:szCs w:val="22"/>
          <w:lang w:val="es-MX"/>
        </w:rPr>
      </w:pPr>
      <w:r>
        <w:rPr>
          <w:rFonts w:ascii="Book Antiqua" w:hAnsi="Book Antiqua"/>
          <w:b/>
          <w:sz w:val="22"/>
          <w:szCs w:val="22"/>
          <w:lang w:val="es-MX"/>
        </w:rPr>
        <w:t>OCTAVA</w:t>
      </w:r>
      <w:r w:rsidR="00426FAA" w:rsidRPr="003E2563">
        <w:rPr>
          <w:rFonts w:ascii="Book Antiqua" w:hAnsi="Book Antiqua"/>
          <w:b/>
          <w:sz w:val="22"/>
          <w:szCs w:val="22"/>
          <w:lang w:val="es-MX"/>
        </w:rPr>
        <w:t xml:space="preserve">. </w:t>
      </w:r>
      <w:r w:rsidR="00426FAA" w:rsidRPr="003E2563">
        <w:rPr>
          <w:rFonts w:ascii="Book Antiqua" w:hAnsi="Book Antiqua"/>
          <w:sz w:val="22"/>
          <w:szCs w:val="22"/>
          <w:u w:val="single"/>
          <w:lang w:val="es-MX"/>
        </w:rPr>
        <w:t>Jurisdicción; Legislación Aplicable</w:t>
      </w:r>
      <w:r w:rsidR="00426FAA" w:rsidRPr="003E2563">
        <w:rPr>
          <w:rFonts w:ascii="Book Antiqua" w:hAnsi="Book Antiqua"/>
          <w:sz w:val="22"/>
          <w:szCs w:val="22"/>
          <w:lang w:val="es-MX"/>
        </w:rPr>
        <w:t>. Para todo lo relativo con la interpretación y cumplimiento de este Convenio, en este acto las partes se someten, de manera expresa e irrevocable, a las leyes aplicables de México, y a la jurisdicción de los tribunales competentes de la Ciudad de México, por lo que renuncian, de manera expresa e irrevocable, a cualquier otra jurisdicción que pudiere corresponderles en virtud de sus domicilios presentes o futuros o por cualquier otra razón.</w:t>
      </w:r>
    </w:p>
    <w:p w14:paraId="7EB2012F" w14:textId="626FB1C9" w:rsidR="002F7AB3" w:rsidRPr="003E2563" w:rsidRDefault="00AF5C23" w:rsidP="00C22BFE">
      <w:pPr>
        <w:spacing w:after="240"/>
        <w:ind w:firstLine="708"/>
        <w:jc w:val="both"/>
        <w:rPr>
          <w:rFonts w:ascii="Book Antiqua" w:hAnsi="Book Antiqua"/>
          <w:sz w:val="22"/>
          <w:szCs w:val="22"/>
          <w:lang w:val="es-MX"/>
        </w:rPr>
      </w:pPr>
      <w:r w:rsidRPr="003E2563">
        <w:rPr>
          <w:rFonts w:ascii="Book Antiqua" w:hAnsi="Book Antiqua"/>
          <w:b/>
          <w:bCs/>
          <w:sz w:val="22"/>
          <w:szCs w:val="22"/>
          <w:lang w:val="es-MX"/>
        </w:rPr>
        <w:t>EN VIRTUD DE LO ANTERIOR</w:t>
      </w:r>
      <w:r w:rsidRPr="003E2563">
        <w:rPr>
          <w:rFonts w:ascii="Book Antiqua" w:hAnsi="Book Antiqua"/>
          <w:sz w:val="22"/>
          <w:szCs w:val="22"/>
          <w:lang w:val="es-MX"/>
        </w:rPr>
        <w:t xml:space="preserve">, las </w:t>
      </w:r>
      <w:r w:rsidR="00426FAA" w:rsidRPr="003E2563">
        <w:rPr>
          <w:rFonts w:ascii="Book Antiqua" w:hAnsi="Book Antiqua"/>
          <w:sz w:val="22"/>
          <w:szCs w:val="22"/>
          <w:lang w:val="es-MX"/>
        </w:rPr>
        <w:t>p</w:t>
      </w:r>
      <w:r w:rsidRPr="003E2563">
        <w:rPr>
          <w:rFonts w:ascii="Book Antiqua" w:hAnsi="Book Antiqua"/>
          <w:sz w:val="22"/>
          <w:szCs w:val="22"/>
          <w:lang w:val="es-MX"/>
        </w:rPr>
        <w:t>artes han celebrado este Convenio</w:t>
      </w:r>
      <w:r w:rsidR="003337F9">
        <w:rPr>
          <w:rFonts w:ascii="Book Antiqua" w:hAnsi="Book Antiqua"/>
          <w:sz w:val="22"/>
          <w:szCs w:val="22"/>
          <w:lang w:val="es-MX"/>
        </w:rPr>
        <w:t xml:space="preserve"> el</w:t>
      </w:r>
      <w:r w:rsidRPr="003E2563">
        <w:rPr>
          <w:rFonts w:ascii="Book Antiqua" w:hAnsi="Book Antiqua"/>
          <w:sz w:val="22"/>
          <w:szCs w:val="22"/>
          <w:lang w:val="es-MX"/>
        </w:rPr>
        <w:t xml:space="preserve"> </w:t>
      </w:r>
      <w:permStart w:id="1539123811" w:edGrp="everyone"/>
      <w:commentRangeStart w:id="12"/>
      <w:r w:rsidR="00D70EA0" w:rsidRPr="003E2563">
        <w:rPr>
          <w:rFonts w:ascii="Book Antiqua" w:hAnsi="Book Antiqua"/>
          <w:sz w:val="22"/>
          <w:szCs w:val="22"/>
          <w:lang w:val="es-MX"/>
        </w:rPr>
        <w:t>[•]</w:t>
      </w:r>
      <w:commentRangeEnd w:id="12"/>
      <w:r w:rsidR="003337F9">
        <w:rPr>
          <w:rStyle w:val="CommentReference"/>
        </w:rPr>
        <w:commentReference w:id="12"/>
      </w:r>
      <w:permEnd w:id="1539123811"/>
      <w:r w:rsidR="00D70EA0" w:rsidRPr="003E2563">
        <w:rPr>
          <w:rFonts w:ascii="Book Antiqua" w:hAnsi="Book Antiqua"/>
          <w:sz w:val="22"/>
          <w:szCs w:val="22"/>
          <w:lang w:val="es-MX"/>
        </w:rPr>
        <w:t xml:space="preserve"> </w:t>
      </w:r>
      <w:r w:rsidR="00066CA8" w:rsidRPr="003E2563">
        <w:rPr>
          <w:rFonts w:ascii="Book Antiqua" w:hAnsi="Book Antiqua"/>
          <w:sz w:val="22"/>
          <w:szCs w:val="22"/>
          <w:lang w:val="es-MX"/>
        </w:rPr>
        <w:t xml:space="preserve">de </w:t>
      </w:r>
      <w:r w:rsidR="00613E83">
        <w:rPr>
          <w:rFonts w:ascii="Book Antiqua" w:hAnsi="Book Antiqua"/>
          <w:sz w:val="22"/>
          <w:szCs w:val="22"/>
          <w:lang w:val="es-MX"/>
        </w:rPr>
        <w:t>Marzo</w:t>
      </w:r>
      <w:r w:rsidR="00D70EA0" w:rsidRPr="003E2563">
        <w:rPr>
          <w:rFonts w:ascii="Book Antiqua" w:hAnsi="Book Antiqua"/>
          <w:sz w:val="22"/>
          <w:szCs w:val="22"/>
          <w:lang w:val="es-MX"/>
        </w:rPr>
        <w:t xml:space="preserve"> </w:t>
      </w:r>
      <w:r w:rsidR="00426FAA" w:rsidRPr="003E2563">
        <w:rPr>
          <w:rFonts w:ascii="Book Antiqua" w:hAnsi="Book Antiqua"/>
          <w:sz w:val="22"/>
          <w:szCs w:val="22"/>
          <w:lang w:val="es-MX"/>
        </w:rPr>
        <w:t>de 20</w:t>
      </w:r>
      <w:r w:rsidR="00C82E45" w:rsidRPr="003E2563">
        <w:rPr>
          <w:rFonts w:ascii="Book Antiqua" w:hAnsi="Book Antiqua"/>
          <w:sz w:val="22"/>
          <w:szCs w:val="22"/>
          <w:lang w:val="es-MX"/>
        </w:rPr>
        <w:t>2</w:t>
      </w:r>
      <w:r w:rsidR="00D85356" w:rsidRPr="003E2563">
        <w:rPr>
          <w:rFonts w:ascii="Book Antiqua" w:hAnsi="Book Antiqua"/>
          <w:sz w:val="22"/>
          <w:szCs w:val="22"/>
          <w:lang w:val="es-MX"/>
        </w:rPr>
        <w:t>6</w:t>
      </w:r>
      <w:r w:rsidRPr="003E2563">
        <w:rPr>
          <w:rFonts w:ascii="Book Antiqua" w:hAnsi="Book Antiqua"/>
          <w:sz w:val="22"/>
          <w:szCs w:val="22"/>
          <w:lang w:val="es-MX"/>
        </w:rPr>
        <w:t>.</w:t>
      </w:r>
      <w:bookmarkStart w:id="13" w:name="_Hlk17917850"/>
    </w:p>
    <w:p w14:paraId="0DE45EB0" w14:textId="77777777" w:rsidR="00426FAA" w:rsidRPr="003E2563" w:rsidRDefault="00F8712C" w:rsidP="00C22BFE">
      <w:pPr>
        <w:spacing w:after="240"/>
        <w:jc w:val="center"/>
        <w:rPr>
          <w:rFonts w:ascii="Book Antiqua" w:hAnsi="Book Antiqua"/>
          <w:i/>
          <w:sz w:val="22"/>
          <w:szCs w:val="22"/>
          <w:lang w:val="es-MX"/>
        </w:rPr>
      </w:pPr>
      <w:r w:rsidRPr="003E2563">
        <w:rPr>
          <w:rFonts w:ascii="Book Antiqua" w:hAnsi="Book Antiqua"/>
          <w:i/>
          <w:sz w:val="22"/>
          <w:szCs w:val="22"/>
          <w:lang w:val="es-MX"/>
        </w:rPr>
        <w:t>[SIGUEN HOJAS DE FIRMA</w:t>
      </w:r>
      <w:bookmarkEnd w:id="13"/>
      <w:r w:rsidR="002F7AB3" w:rsidRPr="003E2563">
        <w:rPr>
          <w:rFonts w:ascii="Book Antiqua" w:hAnsi="Book Antiqua"/>
          <w:i/>
          <w:sz w:val="22"/>
          <w:szCs w:val="22"/>
          <w:lang w:val="es-MX"/>
        </w:rPr>
        <w:t>]</w:t>
      </w:r>
    </w:p>
    <w:p w14:paraId="0D114E19" w14:textId="77777777" w:rsidR="00426FAA" w:rsidRPr="00EE75BB" w:rsidRDefault="00426FAA" w:rsidP="00EE75BB">
      <w:pPr>
        <w:ind w:right="5402"/>
        <w:jc w:val="both"/>
        <w:rPr>
          <w:rFonts w:ascii="Book Antiqua" w:hAnsi="Book Antiqua"/>
          <w:bCs/>
          <w:sz w:val="22"/>
          <w:szCs w:val="22"/>
          <w:lang w:val="es-MX"/>
        </w:rPr>
      </w:pPr>
      <w:r w:rsidRPr="00EE75BB">
        <w:rPr>
          <w:rFonts w:ascii="Book Antiqua" w:hAnsi="Book Antiqua"/>
          <w:bCs/>
          <w:i/>
          <w:sz w:val="22"/>
          <w:szCs w:val="22"/>
          <w:lang w:val="es-MX"/>
        </w:rPr>
        <w:br w:type="page"/>
      </w:r>
      <w:bookmarkStart w:id="14" w:name="_Hlk17929385"/>
      <w:r w:rsidR="00EE75BB" w:rsidRPr="00EE75BB">
        <w:rPr>
          <w:rFonts w:ascii="Book Antiqua" w:hAnsi="Book Antiqua"/>
          <w:bCs/>
          <w:sz w:val="22"/>
          <w:szCs w:val="22"/>
          <w:lang w:val="es-MX"/>
        </w:rPr>
        <w:lastRenderedPageBreak/>
        <w:t xml:space="preserve"> Actinver, S.A., Institución de Banca Múltiple, Grupo Financiero Actinver, División Fiduciaria, en su Carácter de Fiduciario del Contrato de Fideicomiso Irrevocable Identificado con el número 1721.</w:t>
      </w:r>
    </w:p>
    <w:p w14:paraId="6BEDC57C" w14:textId="77777777" w:rsidR="00426FAA" w:rsidRPr="003E2563" w:rsidRDefault="00426FAA" w:rsidP="00426FAA">
      <w:pPr>
        <w:rPr>
          <w:rFonts w:ascii="Book Antiqua" w:hAnsi="Book Antiqua"/>
          <w:sz w:val="22"/>
          <w:szCs w:val="22"/>
          <w:lang w:val="es-MX"/>
        </w:rPr>
      </w:pPr>
    </w:p>
    <w:p w14:paraId="1BBE0CED" w14:textId="77777777" w:rsidR="00426FAA" w:rsidRPr="003E2563" w:rsidRDefault="00426FAA" w:rsidP="00426FAA">
      <w:pPr>
        <w:rPr>
          <w:rFonts w:ascii="Book Antiqua" w:hAnsi="Book Antiqua"/>
          <w:sz w:val="22"/>
          <w:szCs w:val="22"/>
          <w:lang w:val="es-MX"/>
        </w:rPr>
      </w:pPr>
    </w:p>
    <w:p w14:paraId="6502A2B5" w14:textId="77777777" w:rsidR="00426FAA" w:rsidRPr="003E2563" w:rsidRDefault="00426FAA" w:rsidP="00426FAA">
      <w:pPr>
        <w:rPr>
          <w:rFonts w:ascii="Book Antiqua" w:hAnsi="Book Antiqua"/>
          <w:sz w:val="22"/>
          <w:szCs w:val="22"/>
          <w:lang w:val="es-MX"/>
        </w:rPr>
      </w:pPr>
    </w:p>
    <w:p w14:paraId="3128E5F4" w14:textId="77777777" w:rsidR="00426FAA" w:rsidRPr="003E2563" w:rsidRDefault="00426FAA" w:rsidP="00426FAA">
      <w:pPr>
        <w:rPr>
          <w:rFonts w:ascii="Book Antiqua" w:hAnsi="Book Antiqua"/>
          <w:sz w:val="22"/>
          <w:szCs w:val="22"/>
          <w:lang w:val="es-MX"/>
        </w:rPr>
      </w:pPr>
    </w:p>
    <w:p w14:paraId="090A8036" w14:textId="77777777" w:rsidR="00426FAA" w:rsidRPr="003E2563" w:rsidRDefault="00426FAA" w:rsidP="00426FAA">
      <w:pPr>
        <w:rPr>
          <w:rFonts w:ascii="Book Antiqua" w:hAnsi="Book Antiqua"/>
          <w:sz w:val="22"/>
          <w:szCs w:val="22"/>
          <w:lang w:val="es-MX"/>
        </w:rPr>
      </w:pPr>
      <w:r w:rsidRPr="003E2563">
        <w:rPr>
          <w:rFonts w:ascii="Book Antiqua" w:hAnsi="Book Antiqua"/>
          <w:sz w:val="22"/>
          <w:szCs w:val="22"/>
          <w:lang w:val="es-MX"/>
        </w:rPr>
        <w:t>Por: ________________________________________</w:t>
      </w:r>
    </w:p>
    <w:p w14:paraId="72E53E6D" w14:textId="3B176B81" w:rsidR="00426FAA" w:rsidRPr="003E2563" w:rsidRDefault="00426FAA" w:rsidP="00426FAA">
      <w:pPr>
        <w:rPr>
          <w:rFonts w:ascii="Book Antiqua" w:hAnsi="Book Antiqua"/>
          <w:sz w:val="22"/>
          <w:szCs w:val="22"/>
          <w:lang w:val="es-MX"/>
        </w:rPr>
      </w:pPr>
      <w:r w:rsidRPr="003E2563">
        <w:rPr>
          <w:rFonts w:ascii="Book Antiqua" w:hAnsi="Book Antiqua"/>
          <w:sz w:val="22"/>
          <w:szCs w:val="22"/>
          <w:lang w:val="es-MX"/>
        </w:rPr>
        <w:t xml:space="preserve">Nombre: </w:t>
      </w:r>
      <w:r w:rsidR="00613E83">
        <w:rPr>
          <w:rFonts w:ascii="Book Antiqua" w:hAnsi="Book Antiqua"/>
          <w:sz w:val="22"/>
          <w:szCs w:val="22"/>
          <w:lang w:val="es-MX"/>
        </w:rPr>
        <w:t>Mariano José Riva Palacio Leal</w:t>
      </w:r>
    </w:p>
    <w:p w14:paraId="5F98DF3F" w14:textId="77777777" w:rsidR="00426FAA" w:rsidRPr="003E2563" w:rsidRDefault="00426FAA" w:rsidP="00426FAA">
      <w:pPr>
        <w:rPr>
          <w:rFonts w:ascii="Book Antiqua" w:hAnsi="Book Antiqua"/>
          <w:sz w:val="22"/>
          <w:szCs w:val="22"/>
          <w:lang w:val="es-MX"/>
        </w:rPr>
      </w:pPr>
      <w:r w:rsidRPr="003E2563">
        <w:rPr>
          <w:rFonts w:ascii="Book Antiqua" w:hAnsi="Book Antiqua"/>
          <w:sz w:val="22"/>
          <w:szCs w:val="22"/>
          <w:lang w:val="es-MX"/>
        </w:rPr>
        <w:t>Cargo: Apoderado</w:t>
      </w:r>
    </w:p>
    <w:p w14:paraId="06B95346" w14:textId="77777777" w:rsidR="00426FAA" w:rsidRPr="003E2563" w:rsidRDefault="00426FAA" w:rsidP="00426FAA">
      <w:pPr>
        <w:rPr>
          <w:rFonts w:ascii="Book Antiqua" w:hAnsi="Book Antiqua"/>
          <w:sz w:val="22"/>
          <w:szCs w:val="22"/>
          <w:lang w:val="es-MX"/>
        </w:rPr>
      </w:pPr>
    </w:p>
    <w:p w14:paraId="0EBC60AD" w14:textId="77777777" w:rsidR="00426FAA" w:rsidRPr="003E2563" w:rsidRDefault="00426FAA" w:rsidP="00426FAA">
      <w:pPr>
        <w:rPr>
          <w:rFonts w:ascii="Book Antiqua" w:hAnsi="Book Antiqua"/>
          <w:sz w:val="22"/>
          <w:szCs w:val="22"/>
          <w:lang w:val="es-MX"/>
        </w:rPr>
      </w:pPr>
    </w:p>
    <w:p w14:paraId="6BD581D2" w14:textId="77777777" w:rsidR="00426FAA" w:rsidRPr="003E2563" w:rsidRDefault="00426FAA" w:rsidP="00426FAA">
      <w:pPr>
        <w:rPr>
          <w:rFonts w:ascii="Book Antiqua" w:hAnsi="Book Antiqua"/>
          <w:sz w:val="22"/>
          <w:szCs w:val="22"/>
          <w:lang w:val="es-MX"/>
        </w:rPr>
      </w:pPr>
    </w:p>
    <w:p w14:paraId="78E23F3C" w14:textId="77777777" w:rsidR="00426FAA" w:rsidRPr="003E2563" w:rsidRDefault="00426FAA" w:rsidP="00426FAA">
      <w:pPr>
        <w:rPr>
          <w:rFonts w:ascii="Book Antiqua" w:hAnsi="Book Antiqua"/>
          <w:sz w:val="22"/>
          <w:szCs w:val="22"/>
          <w:lang w:val="es-MX"/>
        </w:rPr>
      </w:pPr>
    </w:p>
    <w:p w14:paraId="1AA0DB02" w14:textId="77777777" w:rsidR="00426FAA" w:rsidRPr="003E2563" w:rsidRDefault="00426FAA" w:rsidP="00426FAA">
      <w:pPr>
        <w:rPr>
          <w:rFonts w:ascii="Book Antiqua" w:hAnsi="Book Antiqua"/>
          <w:sz w:val="22"/>
          <w:szCs w:val="22"/>
          <w:lang w:val="es-MX"/>
        </w:rPr>
      </w:pPr>
    </w:p>
    <w:p w14:paraId="27FE9918" w14:textId="77777777" w:rsidR="00426FAA" w:rsidRPr="003E2563" w:rsidRDefault="00426FAA" w:rsidP="00426FAA">
      <w:pPr>
        <w:rPr>
          <w:rFonts w:ascii="Book Antiqua" w:hAnsi="Book Antiqua"/>
          <w:sz w:val="22"/>
          <w:szCs w:val="22"/>
          <w:lang w:val="es-MX"/>
        </w:rPr>
      </w:pPr>
    </w:p>
    <w:p w14:paraId="6D43FE7D" w14:textId="77777777" w:rsidR="00426FAA" w:rsidRPr="003E2563" w:rsidRDefault="00426FAA" w:rsidP="00426FAA">
      <w:pPr>
        <w:rPr>
          <w:rFonts w:ascii="Book Antiqua" w:hAnsi="Book Antiqua"/>
          <w:sz w:val="22"/>
          <w:szCs w:val="22"/>
          <w:lang w:val="es-MX"/>
        </w:rPr>
      </w:pPr>
    </w:p>
    <w:p w14:paraId="6486FA45" w14:textId="77777777" w:rsidR="00426FAA" w:rsidRPr="003E2563" w:rsidRDefault="00426FAA" w:rsidP="00426FAA">
      <w:pPr>
        <w:rPr>
          <w:rFonts w:ascii="Book Antiqua" w:hAnsi="Book Antiqua"/>
          <w:sz w:val="22"/>
          <w:szCs w:val="22"/>
          <w:lang w:val="es-MX"/>
        </w:rPr>
      </w:pPr>
    </w:p>
    <w:p w14:paraId="293C0275" w14:textId="77777777" w:rsidR="00426FAA" w:rsidRPr="003E2563" w:rsidRDefault="00426FAA" w:rsidP="00426FAA">
      <w:pPr>
        <w:rPr>
          <w:rFonts w:ascii="Book Antiqua" w:hAnsi="Book Antiqua"/>
          <w:sz w:val="22"/>
          <w:szCs w:val="22"/>
          <w:lang w:val="es-MX"/>
        </w:rPr>
      </w:pPr>
    </w:p>
    <w:p w14:paraId="7E3710BA" w14:textId="77777777" w:rsidR="00426FAA" w:rsidRPr="003E2563" w:rsidRDefault="00426FAA" w:rsidP="00426FAA">
      <w:pPr>
        <w:rPr>
          <w:rFonts w:ascii="Book Antiqua" w:hAnsi="Book Antiqua"/>
          <w:sz w:val="22"/>
          <w:szCs w:val="22"/>
          <w:lang w:val="es-MX"/>
        </w:rPr>
      </w:pPr>
    </w:p>
    <w:p w14:paraId="2189A1B0" w14:textId="77777777" w:rsidR="00426FAA" w:rsidRPr="003E2563" w:rsidRDefault="00426FAA" w:rsidP="00426FAA">
      <w:pPr>
        <w:rPr>
          <w:rFonts w:ascii="Book Antiqua" w:hAnsi="Book Antiqua"/>
          <w:sz w:val="22"/>
          <w:szCs w:val="22"/>
          <w:lang w:val="es-MX"/>
        </w:rPr>
      </w:pPr>
    </w:p>
    <w:p w14:paraId="380CA8FE" w14:textId="77777777" w:rsidR="00426FAA" w:rsidRPr="003E2563" w:rsidRDefault="00426FAA" w:rsidP="00426FAA">
      <w:pPr>
        <w:rPr>
          <w:rFonts w:ascii="Book Antiqua" w:hAnsi="Book Antiqua"/>
          <w:sz w:val="22"/>
          <w:szCs w:val="22"/>
          <w:lang w:val="es-MX"/>
        </w:rPr>
      </w:pPr>
    </w:p>
    <w:p w14:paraId="58BBD9C2" w14:textId="77777777" w:rsidR="00426FAA" w:rsidRPr="003E2563" w:rsidRDefault="00426FAA" w:rsidP="00426FAA">
      <w:pPr>
        <w:rPr>
          <w:rFonts w:ascii="Book Antiqua" w:hAnsi="Book Antiqua"/>
          <w:sz w:val="22"/>
          <w:szCs w:val="22"/>
          <w:lang w:val="es-MX"/>
        </w:rPr>
      </w:pPr>
    </w:p>
    <w:p w14:paraId="399DDE3D" w14:textId="77777777" w:rsidR="00426FAA" w:rsidRPr="003E2563" w:rsidRDefault="00426FAA" w:rsidP="00426FAA">
      <w:pPr>
        <w:rPr>
          <w:rFonts w:ascii="Book Antiqua" w:hAnsi="Book Antiqua"/>
          <w:sz w:val="22"/>
          <w:szCs w:val="22"/>
          <w:lang w:val="es-MX"/>
        </w:rPr>
      </w:pPr>
    </w:p>
    <w:p w14:paraId="7863A02D" w14:textId="77777777" w:rsidR="00426FAA" w:rsidRPr="003E2563" w:rsidRDefault="00426FAA" w:rsidP="00426FAA">
      <w:pPr>
        <w:rPr>
          <w:rFonts w:ascii="Book Antiqua" w:hAnsi="Book Antiqua"/>
          <w:sz w:val="22"/>
          <w:szCs w:val="22"/>
          <w:lang w:val="es-MX"/>
        </w:rPr>
      </w:pPr>
    </w:p>
    <w:p w14:paraId="2104CC45" w14:textId="77777777" w:rsidR="00426FAA" w:rsidRPr="003E2563" w:rsidRDefault="00426FAA" w:rsidP="00426FAA">
      <w:pPr>
        <w:rPr>
          <w:rFonts w:ascii="Book Antiqua" w:hAnsi="Book Antiqua"/>
          <w:sz w:val="22"/>
          <w:szCs w:val="22"/>
          <w:lang w:val="es-MX"/>
        </w:rPr>
      </w:pPr>
    </w:p>
    <w:p w14:paraId="501D3886" w14:textId="77777777" w:rsidR="00426FAA" w:rsidRPr="003E2563" w:rsidRDefault="00426FAA" w:rsidP="00426FAA">
      <w:pPr>
        <w:rPr>
          <w:rFonts w:ascii="Book Antiqua" w:hAnsi="Book Antiqua"/>
          <w:sz w:val="22"/>
          <w:szCs w:val="22"/>
          <w:lang w:val="es-MX"/>
        </w:rPr>
      </w:pPr>
    </w:p>
    <w:p w14:paraId="0C0E5522" w14:textId="77777777" w:rsidR="00426FAA" w:rsidRPr="003E2563" w:rsidRDefault="00426FAA" w:rsidP="00426FAA">
      <w:pPr>
        <w:rPr>
          <w:rFonts w:ascii="Book Antiqua" w:hAnsi="Book Antiqua"/>
          <w:sz w:val="22"/>
          <w:szCs w:val="22"/>
          <w:lang w:val="es-MX"/>
        </w:rPr>
      </w:pPr>
    </w:p>
    <w:p w14:paraId="1CE4B4C6" w14:textId="77777777" w:rsidR="00426FAA" w:rsidRPr="003E2563" w:rsidRDefault="00426FAA" w:rsidP="00426FAA">
      <w:pPr>
        <w:rPr>
          <w:rFonts w:ascii="Book Antiqua" w:hAnsi="Book Antiqua"/>
          <w:sz w:val="22"/>
          <w:szCs w:val="22"/>
          <w:lang w:val="es-MX"/>
        </w:rPr>
      </w:pPr>
    </w:p>
    <w:p w14:paraId="0CF7C4FB" w14:textId="77777777" w:rsidR="00426FAA" w:rsidRPr="003E2563" w:rsidRDefault="00426FAA" w:rsidP="00426FAA">
      <w:pPr>
        <w:rPr>
          <w:rFonts w:ascii="Book Antiqua" w:hAnsi="Book Antiqua"/>
          <w:sz w:val="22"/>
          <w:szCs w:val="22"/>
          <w:lang w:val="es-MX"/>
        </w:rPr>
      </w:pPr>
    </w:p>
    <w:p w14:paraId="184C9BBD" w14:textId="77777777" w:rsidR="00426FAA" w:rsidRPr="003E2563" w:rsidRDefault="00426FAA" w:rsidP="00426FAA">
      <w:pPr>
        <w:rPr>
          <w:rFonts w:ascii="Book Antiqua" w:hAnsi="Book Antiqua"/>
          <w:sz w:val="22"/>
          <w:szCs w:val="22"/>
          <w:lang w:val="es-MX"/>
        </w:rPr>
      </w:pPr>
    </w:p>
    <w:p w14:paraId="4DFF713C" w14:textId="77777777" w:rsidR="00426FAA" w:rsidRPr="003E2563" w:rsidRDefault="00426FAA" w:rsidP="00426FAA">
      <w:pPr>
        <w:rPr>
          <w:rFonts w:ascii="Book Antiqua" w:hAnsi="Book Antiqua"/>
          <w:sz w:val="22"/>
          <w:szCs w:val="22"/>
          <w:lang w:val="es-MX"/>
        </w:rPr>
      </w:pPr>
    </w:p>
    <w:p w14:paraId="5BA7E0E3" w14:textId="77777777" w:rsidR="00426FAA" w:rsidRPr="003E2563" w:rsidRDefault="00426FAA" w:rsidP="00426FAA">
      <w:pPr>
        <w:rPr>
          <w:rFonts w:ascii="Book Antiqua" w:hAnsi="Book Antiqua"/>
          <w:sz w:val="22"/>
          <w:szCs w:val="22"/>
          <w:lang w:val="es-MX"/>
        </w:rPr>
      </w:pPr>
    </w:p>
    <w:p w14:paraId="526B595A" w14:textId="77777777" w:rsidR="00426FAA" w:rsidRPr="003E2563" w:rsidRDefault="00426FAA" w:rsidP="00426FAA">
      <w:pPr>
        <w:rPr>
          <w:rFonts w:ascii="Book Antiqua" w:hAnsi="Book Antiqua"/>
          <w:sz w:val="22"/>
          <w:szCs w:val="22"/>
          <w:lang w:val="es-MX"/>
        </w:rPr>
      </w:pPr>
    </w:p>
    <w:p w14:paraId="7B4FB951" w14:textId="77777777" w:rsidR="00426FAA" w:rsidRPr="003E2563" w:rsidRDefault="00426FAA" w:rsidP="00426FAA">
      <w:pPr>
        <w:rPr>
          <w:rFonts w:ascii="Book Antiqua" w:hAnsi="Book Antiqua"/>
          <w:sz w:val="22"/>
          <w:szCs w:val="22"/>
          <w:lang w:val="es-MX"/>
        </w:rPr>
      </w:pPr>
    </w:p>
    <w:p w14:paraId="3C8560A5" w14:textId="77777777" w:rsidR="00426FAA" w:rsidRPr="003E2563" w:rsidRDefault="00426FAA" w:rsidP="00426FAA">
      <w:pPr>
        <w:rPr>
          <w:rFonts w:ascii="Book Antiqua" w:hAnsi="Book Antiqua"/>
          <w:sz w:val="22"/>
          <w:szCs w:val="22"/>
          <w:lang w:val="es-MX"/>
        </w:rPr>
      </w:pPr>
    </w:p>
    <w:p w14:paraId="63D97C78" w14:textId="77777777" w:rsidR="00426FAA" w:rsidRPr="003E2563" w:rsidRDefault="00426FAA" w:rsidP="00426FAA">
      <w:pPr>
        <w:rPr>
          <w:rFonts w:ascii="Book Antiqua" w:hAnsi="Book Antiqua"/>
          <w:sz w:val="22"/>
          <w:szCs w:val="22"/>
          <w:lang w:val="es-MX"/>
        </w:rPr>
      </w:pPr>
    </w:p>
    <w:p w14:paraId="29890254" w14:textId="77777777" w:rsidR="000753F6" w:rsidRPr="003E2563" w:rsidRDefault="000753F6" w:rsidP="00426FAA">
      <w:pPr>
        <w:jc w:val="both"/>
        <w:rPr>
          <w:rFonts w:ascii="Book Antiqua" w:hAnsi="Book Antiqua"/>
          <w:sz w:val="22"/>
          <w:szCs w:val="22"/>
          <w:lang w:val="es-MX"/>
        </w:rPr>
      </w:pPr>
    </w:p>
    <w:p w14:paraId="082B183A" w14:textId="77777777" w:rsidR="000753F6" w:rsidRPr="003E2563" w:rsidRDefault="000753F6" w:rsidP="00426FAA">
      <w:pPr>
        <w:jc w:val="both"/>
        <w:rPr>
          <w:rFonts w:ascii="Book Antiqua" w:hAnsi="Book Antiqua"/>
          <w:sz w:val="22"/>
          <w:szCs w:val="22"/>
          <w:lang w:val="es-MX"/>
        </w:rPr>
      </w:pPr>
    </w:p>
    <w:p w14:paraId="784D1606" w14:textId="77777777" w:rsidR="000753F6" w:rsidRPr="003E2563" w:rsidRDefault="000753F6" w:rsidP="00426FAA">
      <w:pPr>
        <w:jc w:val="both"/>
        <w:rPr>
          <w:rFonts w:ascii="Book Antiqua" w:hAnsi="Book Antiqua"/>
          <w:sz w:val="22"/>
          <w:szCs w:val="22"/>
          <w:lang w:val="es-MX"/>
        </w:rPr>
      </w:pPr>
    </w:p>
    <w:p w14:paraId="4052E3C8" w14:textId="77777777" w:rsidR="00DF129E" w:rsidRPr="003E2563" w:rsidRDefault="00DF129E" w:rsidP="00DF129E">
      <w:pPr>
        <w:jc w:val="both"/>
        <w:rPr>
          <w:rFonts w:ascii="Book Antiqua" w:hAnsi="Book Antiqua"/>
          <w:i/>
          <w:iCs/>
          <w:sz w:val="22"/>
          <w:szCs w:val="22"/>
          <w:lang w:val="es-MX"/>
        </w:rPr>
      </w:pPr>
      <w:r w:rsidRPr="003E2563">
        <w:rPr>
          <w:rFonts w:ascii="Book Antiqua" w:hAnsi="Book Antiqua"/>
          <w:i/>
          <w:iCs/>
          <w:sz w:val="22"/>
          <w:szCs w:val="22"/>
          <w:lang w:val="es-MX"/>
        </w:rPr>
        <w:t xml:space="preserve">[HOJA DE FIRMAS DEL CONVENIO DE CESIÓN CELEBRADO ENTRE </w:t>
      </w:r>
      <w:r w:rsidRPr="00DF129E">
        <w:rPr>
          <w:rFonts w:ascii="Book Antiqua" w:hAnsi="Book Antiqua"/>
          <w:i/>
          <w:iCs/>
          <w:sz w:val="22"/>
          <w:szCs w:val="22"/>
          <w:lang w:val="es-MX"/>
        </w:rPr>
        <w:t>BANCO ACTINVER, S.A., INSTITUCIÓN DE BANCA MÚLTIPLE, GRUPO FINANCIERO ACTINVER, DIVISIÓN FIDUCIARIA, EN SU CARÁCTER DE FIDUCIARIO DEL CONTRATO DE FIDEICOMISO IRREVOCABLE IDENTIFICADO CON EL NÚMERO 1721, COMO CESIONARIO, Y POR LA OTRA PARTE [TENEDOR], COMO CEDENTE</w:t>
      </w:r>
      <w:r w:rsidRPr="003E2563">
        <w:rPr>
          <w:rFonts w:ascii="Book Antiqua" w:hAnsi="Book Antiqua"/>
          <w:i/>
          <w:iCs/>
          <w:sz w:val="22"/>
          <w:szCs w:val="22"/>
          <w:lang w:val="es-MX"/>
        </w:rPr>
        <w:t>.]</w:t>
      </w:r>
    </w:p>
    <w:p w14:paraId="46F95662" w14:textId="77777777" w:rsidR="00426FAA" w:rsidRPr="003E2563" w:rsidRDefault="00426FAA" w:rsidP="00426FAA">
      <w:pPr>
        <w:jc w:val="both"/>
        <w:rPr>
          <w:rFonts w:ascii="Book Antiqua" w:hAnsi="Book Antiqua"/>
          <w:b/>
          <w:sz w:val="22"/>
          <w:szCs w:val="22"/>
          <w:lang w:val="es-MX"/>
        </w:rPr>
      </w:pPr>
      <w:r w:rsidRPr="003E2563">
        <w:rPr>
          <w:rFonts w:ascii="Book Antiqua" w:hAnsi="Book Antiqua"/>
          <w:caps/>
          <w:sz w:val="22"/>
          <w:szCs w:val="22"/>
          <w:lang w:val="es-MX"/>
        </w:rPr>
        <w:br w:type="page"/>
      </w:r>
      <w:r w:rsidR="00DF129E">
        <w:rPr>
          <w:rFonts w:ascii="Book Antiqua" w:hAnsi="Book Antiqua"/>
          <w:b/>
          <w:bCs/>
          <w:sz w:val="22"/>
          <w:szCs w:val="22"/>
          <w:lang w:val="es-MX"/>
        </w:rPr>
        <w:lastRenderedPageBreak/>
        <w:t>Tenedor</w:t>
      </w:r>
    </w:p>
    <w:p w14:paraId="6673C890" w14:textId="77777777" w:rsidR="00426FAA" w:rsidRPr="003E2563" w:rsidRDefault="00426FAA" w:rsidP="00426FAA">
      <w:pPr>
        <w:rPr>
          <w:rFonts w:ascii="Book Antiqua" w:hAnsi="Book Antiqua"/>
          <w:sz w:val="22"/>
          <w:szCs w:val="22"/>
          <w:lang w:val="es-MX"/>
        </w:rPr>
      </w:pPr>
    </w:p>
    <w:p w14:paraId="02E229C9" w14:textId="77777777" w:rsidR="00426FAA" w:rsidRPr="003E2563" w:rsidRDefault="00426FAA" w:rsidP="00426FAA">
      <w:pPr>
        <w:rPr>
          <w:rFonts w:ascii="Book Antiqua" w:hAnsi="Book Antiqua"/>
          <w:sz w:val="22"/>
          <w:szCs w:val="22"/>
          <w:lang w:val="es-MX"/>
        </w:rPr>
      </w:pPr>
    </w:p>
    <w:p w14:paraId="3969C5F5" w14:textId="77777777" w:rsidR="00426FAA" w:rsidRPr="003E2563" w:rsidRDefault="00426FAA" w:rsidP="00426FAA">
      <w:pPr>
        <w:rPr>
          <w:rFonts w:ascii="Book Antiqua" w:hAnsi="Book Antiqua"/>
          <w:sz w:val="22"/>
          <w:szCs w:val="22"/>
          <w:lang w:val="es-MX"/>
        </w:rPr>
      </w:pPr>
    </w:p>
    <w:p w14:paraId="29DC1BDA" w14:textId="77777777" w:rsidR="00426FAA" w:rsidRPr="003E2563" w:rsidRDefault="00426FAA" w:rsidP="00426FAA">
      <w:pPr>
        <w:rPr>
          <w:rFonts w:ascii="Book Antiqua" w:hAnsi="Book Antiqua"/>
          <w:sz w:val="22"/>
          <w:szCs w:val="22"/>
          <w:lang w:val="es-MX"/>
        </w:rPr>
      </w:pPr>
    </w:p>
    <w:p w14:paraId="7C254E7C" w14:textId="77777777" w:rsidR="00426FAA" w:rsidRPr="003E2563" w:rsidRDefault="00426FAA" w:rsidP="00426FAA">
      <w:pPr>
        <w:rPr>
          <w:rFonts w:ascii="Book Antiqua" w:hAnsi="Book Antiqua"/>
          <w:sz w:val="22"/>
          <w:szCs w:val="22"/>
          <w:lang w:val="es-MX"/>
        </w:rPr>
      </w:pPr>
      <w:r w:rsidRPr="003E2563">
        <w:rPr>
          <w:rFonts w:ascii="Book Antiqua" w:hAnsi="Book Antiqua"/>
          <w:sz w:val="22"/>
          <w:szCs w:val="22"/>
          <w:lang w:val="es-MX"/>
        </w:rPr>
        <w:t>Por: ________________________________________</w:t>
      </w:r>
    </w:p>
    <w:p w14:paraId="3E40F883" w14:textId="77777777" w:rsidR="00426FAA" w:rsidRPr="003E2563" w:rsidRDefault="00426FAA" w:rsidP="00426FAA">
      <w:pPr>
        <w:rPr>
          <w:rFonts w:ascii="Book Antiqua" w:hAnsi="Book Antiqua"/>
          <w:sz w:val="22"/>
          <w:szCs w:val="22"/>
          <w:lang w:val="es-MX"/>
        </w:rPr>
      </w:pPr>
      <w:r w:rsidRPr="003E2563">
        <w:rPr>
          <w:rFonts w:ascii="Book Antiqua" w:hAnsi="Book Antiqua"/>
          <w:sz w:val="22"/>
          <w:szCs w:val="22"/>
          <w:lang w:val="es-MX"/>
        </w:rPr>
        <w:t>Nombre</w:t>
      </w:r>
      <w:commentRangeStart w:id="15"/>
      <w:r w:rsidRPr="003E2563">
        <w:rPr>
          <w:rFonts w:ascii="Book Antiqua" w:hAnsi="Book Antiqua"/>
          <w:sz w:val="22"/>
          <w:szCs w:val="22"/>
          <w:lang w:val="es-MX"/>
        </w:rPr>
        <w:t>:</w:t>
      </w:r>
      <w:permStart w:id="782969592" w:edGrp="everyone"/>
      <w:r w:rsidRPr="003E2563">
        <w:rPr>
          <w:rFonts w:ascii="Book Antiqua" w:hAnsi="Book Antiqua"/>
          <w:sz w:val="22"/>
          <w:szCs w:val="22"/>
          <w:lang w:val="es-MX"/>
        </w:rPr>
        <w:t xml:space="preserve"> </w:t>
      </w:r>
      <w:bookmarkStart w:id="16" w:name="_Hlk216433051"/>
      <w:r w:rsidR="00DF129E" w:rsidRPr="003E2563">
        <w:rPr>
          <w:rFonts w:ascii="Book Antiqua" w:hAnsi="Book Antiqua"/>
          <w:b/>
          <w:bCs/>
          <w:sz w:val="22"/>
          <w:szCs w:val="22"/>
          <w:lang w:val="es-MX"/>
        </w:rPr>
        <w:t xml:space="preserve">[•] </w:t>
      </w:r>
      <w:bookmarkEnd w:id="16"/>
      <w:r w:rsidR="00C7715F" w:rsidRPr="003E2563" w:rsidDel="00C7715F">
        <w:rPr>
          <w:rFonts w:ascii="Book Antiqua" w:hAnsi="Book Antiqua"/>
          <w:sz w:val="22"/>
          <w:szCs w:val="22"/>
          <w:lang w:val="es-MX"/>
        </w:rPr>
        <w:t xml:space="preserve"> </w:t>
      </w:r>
      <w:commentRangeEnd w:id="15"/>
      <w:r w:rsidR="003337F9">
        <w:rPr>
          <w:rStyle w:val="CommentReference"/>
        </w:rPr>
        <w:commentReference w:id="15"/>
      </w:r>
      <w:permEnd w:id="782969592"/>
    </w:p>
    <w:p w14:paraId="5D8A9108" w14:textId="77777777" w:rsidR="00426FAA" w:rsidRPr="003E2563" w:rsidRDefault="00426FAA" w:rsidP="00426FAA">
      <w:pPr>
        <w:rPr>
          <w:rFonts w:ascii="Book Antiqua" w:hAnsi="Book Antiqua"/>
          <w:sz w:val="22"/>
          <w:szCs w:val="22"/>
          <w:lang w:val="es-MX"/>
        </w:rPr>
      </w:pPr>
    </w:p>
    <w:p w14:paraId="27EAB8C6" w14:textId="77777777" w:rsidR="00426FAA" w:rsidRPr="003E2563" w:rsidRDefault="00426FAA" w:rsidP="00426FAA">
      <w:pPr>
        <w:rPr>
          <w:rFonts w:ascii="Book Antiqua" w:hAnsi="Book Antiqua"/>
          <w:sz w:val="22"/>
          <w:szCs w:val="22"/>
          <w:lang w:val="es-MX"/>
        </w:rPr>
      </w:pPr>
    </w:p>
    <w:p w14:paraId="72BF47BD" w14:textId="77777777" w:rsidR="00426FAA" w:rsidRPr="003E2563" w:rsidRDefault="00426FAA" w:rsidP="00426FAA">
      <w:pPr>
        <w:rPr>
          <w:rFonts w:ascii="Book Antiqua" w:hAnsi="Book Antiqua"/>
          <w:sz w:val="22"/>
          <w:szCs w:val="22"/>
          <w:lang w:val="es-MX"/>
        </w:rPr>
      </w:pPr>
    </w:p>
    <w:p w14:paraId="2F300643" w14:textId="77777777" w:rsidR="00426FAA" w:rsidRPr="003E2563" w:rsidRDefault="00426FAA" w:rsidP="00426FAA">
      <w:pPr>
        <w:rPr>
          <w:rFonts w:ascii="Book Antiqua" w:hAnsi="Book Antiqua"/>
          <w:sz w:val="22"/>
          <w:szCs w:val="22"/>
          <w:lang w:val="es-MX"/>
        </w:rPr>
      </w:pPr>
    </w:p>
    <w:p w14:paraId="606D01B1" w14:textId="77777777" w:rsidR="00426FAA" w:rsidRPr="003E2563" w:rsidRDefault="00426FAA" w:rsidP="00426FAA">
      <w:pPr>
        <w:rPr>
          <w:rFonts w:ascii="Book Antiqua" w:hAnsi="Book Antiqua"/>
          <w:sz w:val="22"/>
          <w:szCs w:val="22"/>
          <w:lang w:val="es-MX"/>
        </w:rPr>
      </w:pPr>
    </w:p>
    <w:p w14:paraId="50E6DCD5" w14:textId="77777777" w:rsidR="00426FAA" w:rsidRPr="003E2563" w:rsidRDefault="00426FAA" w:rsidP="00426FAA">
      <w:pPr>
        <w:rPr>
          <w:rFonts w:ascii="Book Antiqua" w:hAnsi="Book Antiqua"/>
          <w:sz w:val="22"/>
          <w:szCs w:val="22"/>
          <w:lang w:val="es-MX"/>
        </w:rPr>
      </w:pPr>
    </w:p>
    <w:p w14:paraId="43B2C90C" w14:textId="77777777" w:rsidR="00426FAA" w:rsidRPr="003E2563" w:rsidRDefault="00426FAA" w:rsidP="00426FAA">
      <w:pPr>
        <w:rPr>
          <w:rFonts w:ascii="Book Antiqua" w:hAnsi="Book Antiqua"/>
          <w:sz w:val="22"/>
          <w:szCs w:val="22"/>
          <w:lang w:val="es-MX"/>
        </w:rPr>
      </w:pPr>
    </w:p>
    <w:p w14:paraId="3CD799E4" w14:textId="77777777" w:rsidR="00426FAA" w:rsidRPr="003E2563" w:rsidRDefault="00426FAA" w:rsidP="00426FAA">
      <w:pPr>
        <w:rPr>
          <w:rFonts w:ascii="Book Antiqua" w:hAnsi="Book Antiqua"/>
          <w:sz w:val="22"/>
          <w:szCs w:val="22"/>
          <w:lang w:val="es-MX"/>
        </w:rPr>
      </w:pPr>
    </w:p>
    <w:p w14:paraId="36379313" w14:textId="77777777" w:rsidR="00426FAA" w:rsidRPr="003E2563" w:rsidRDefault="00426FAA" w:rsidP="00426FAA">
      <w:pPr>
        <w:rPr>
          <w:rFonts w:ascii="Book Antiqua" w:hAnsi="Book Antiqua"/>
          <w:sz w:val="22"/>
          <w:szCs w:val="22"/>
          <w:lang w:val="es-MX"/>
        </w:rPr>
      </w:pPr>
    </w:p>
    <w:p w14:paraId="0D12122D" w14:textId="77777777" w:rsidR="00426FAA" w:rsidRPr="003E2563" w:rsidRDefault="00426FAA" w:rsidP="00426FAA">
      <w:pPr>
        <w:rPr>
          <w:rFonts w:ascii="Book Antiqua" w:hAnsi="Book Antiqua"/>
          <w:sz w:val="22"/>
          <w:szCs w:val="22"/>
          <w:lang w:val="es-MX"/>
        </w:rPr>
      </w:pPr>
    </w:p>
    <w:p w14:paraId="09500CC3" w14:textId="77777777" w:rsidR="00426FAA" w:rsidRPr="003E2563" w:rsidRDefault="00426FAA" w:rsidP="00426FAA">
      <w:pPr>
        <w:rPr>
          <w:rFonts w:ascii="Book Antiqua" w:hAnsi="Book Antiqua"/>
          <w:sz w:val="22"/>
          <w:szCs w:val="22"/>
          <w:lang w:val="es-MX"/>
        </w:rPr>
      </w:pPr>
    </w:p>
    <w:p w14:paraId="5F064218" w14:textId="77777777" w:rsidR="00426FAA" w:rsidRPr="003E2563" w:rsidRDefault="00426FAA" w:rsidP="00426FAA">
      <w:pPr>
        <w:rPr>
          <w:rFonts w:ascii="Book Antiqua" w:hAnsi="Book Antiqua"/>
          <w:sz w:val="22"/>
          <w:szCs w:val="22"/>
          <w:lang w:val="es-MX"/>
        </w:rPr>
      </w:pPr>
    </w:p>
    <w:p w14:paraId="0E2287D6" w14:textId="77777777" w:rsidR="00426FAA" w:rsidRPr="003E2563" w:rsidRDefault="00426FAA" w:rsidP="00426FAA">
      <w:pPr>
        <w:rPr>
          <w:rFonts w:ascii="Book Antiqua" w:hAnsi="Book Antiqua"/>
          <w:sz w:val="22"/>
          <w:szCs w:val="22"/>
          <w:lang w:val="es-MX"/>
        </w:rPr>
      </w:pPr>
    </w:p>
    <w:p w14:paraId="5DC1CC8C" w14:textId="77777777" w:rsidR="00426FAA" w:rsidRPr="003E2563" w:rsidRDefault="00426FAA" w:rsidP="00426FAA">
      <w:pPr>
        <w:rPr>
          <w:rFonts w:ascii="Book Antiqua" w:hAnsi="Book Antiqua"/>
          <w:sz w:val="22"/>
          <w:szCs w:val="22"/>
          <w:lang w:val="es-MX"/>
        </w:rPr>
      </w:pPr>
    </w:p>
    <w:p w14:paraId="6ED0EC5A" w14:textId="77777777" w:rsidR="00426FAA" w:rsidRPr="003E2563" w:rsidRDefault="00426FAA" w:rsidP="00426FAA">
      <w:pPr>
        <w:rPr>
          <w:rFonts w:ascii="Book Antiqua" w:hAnsi="Book Antiqua"/>
          <w:sz w:val="22"/>
          <w:szCs w:val="22"/>
          <w:lang w:val="es-MX"/>
        </w:rPr>
      </w:pPr>
    </w:p>
    <w:p w14:paraId="60081C33" w14:textId="77777777" w:rsidR="00426FAA" w:rsidRPr="003E2563" w:rsidRDefault="00426FAA" w:rsidP="00426FAA">
      <w:pPr>
        <w:rPr>
          <w:rFonts w:ascii="Book Antiqua" w:hAnsi="Book Antiqua"/>
          <w:sz w:val="22"/>
          <w:szCs w:val="22"/>
          <w:lang w:val="es-MX"/>
        </w:rPr>
      </w:pPr>
    </w:p>
    <w:p w14:paraId="322EB2C2" w14:textId="77777777" w:rsidR="00426FAA" w:rsidRPr="003E2563" w:rsidRDefault="00426FAA" w:rsidP="00426FAA">
      <w:pPr>
        <w:rPr>
          <w:rFonts w:ascii="Book Antiqua" w:hAnsi="Book Antiqua"/>
          <w:sz w:val="22"/>
          <w:szCs w:val="22"/>
          <w:lang w:val="es-MX"/>
        </w:rPr>
      </w:pPr>
    </w:p>
    <w:p w14:paraId="448C9B56" w14:textId="77777777" w:rsidR="00426FAA" w:rsidRPr="003E2563" w:rsidRDefault="00426FAA" w:rsidP="00426FAA">
      <w:pPr>
        <w:rPr>
          <w:rFonts w:ascii="Book Antiqua" w:hAnsi="Book Antiqua"/>
          <w:sz w:val="22"/>
          <w:szCs w:val="22"/>
          <w:lang w:val="es-MX"/>
        </w:rPr>
      </w:pPr>
    </w:p>
    <w:p w14:paraId="61300A6E" w14:textId="77777777" w:rsidR="00426FAA" w:rsidRPr="003E2563" w:rsidRDefault="00426FAA" w:rsidP="00426FAA">
      <w:pPr>
        <w:rPr>
          <w:rFonts w:ascii="Book Antiqua" w:hAnsi="Book Antiqua"/>
          <w:sz w:val="22"/>
          <w:szCs w:val="22"/>
          <w:lang w:val="es-MX"/>
        </w:rPr>
      </w:pPr>
    </w:p>
    <w:p w14:paraId="0B0D1626" w14:textId="77777777" w:rsidR="000753F6" w:rsidRPr="003E2563" w:rsidRDefault="000753F6" w:rsidP="000753F6">
      <w:pPr>
        <w:jc w:val="both"/>
        <w:rPr>
          <w:rFonts w:ascii="Book Antiqua" w:hAnsi="Book Antiqua"/>
          <w:sz w:val="22"/>
          <w:szCs w:val="22"/>
          <w:lang w:val="es-MX"/>
        </w:rPr>
      </w:pPr>
    </w:p>
    <w:p w14:paraId="101770C5" w14:textId="77777777" w:rsidR="000753F6" w:rsidRPr="003E2563" w:rsidRDefault="000753F6" w:rsidP="000753F6">
      <w:pPr>
        <w:jc w:val="both"/>
        <w:rPr>
          <w:rFonts w:ascii="Book Antiqua" w:hAnsi="Book Antiqua"/>
          <w:sz w:val="22"/>
          <w:szCs w:val="22"/>
          <w:lang w:val="es-MX"/>
        </w:rPr>
      </w:pPr>
    </w:p>
    <w:p w14:paraId="6E4DFB8C" w14:textId="77777777" w:rsidR="000753F6" w:rsidRPr="003E2563" w:rsidRDefault="000753F6" w:rsidP="000753F6">
      <w:pPr>
        <w:jc w:val="both"/>
        <w:rPr>
          <w:rFonts w:ascii="Book Antiqua" w:hAnsi="Book Antiqua"/>
          <w:sz w:val="22"/>
          <w:szCs w:val="22"/>
          <w:lang w:val="es-MX"/>
        </w:rPr>
      </w:pPr>
    </w:p>
    <w:p w14:paraId="40B81CBA" w14:textId="77777777" w:rsidR="00A84E49" w:rsidRPr="003E2563" w:rsidRDefault="00A84E49" w:rsidP="000753F6">
      <w:pPr>
        <w:jc w:val="both"/>
        <w:rPr>
          <w:rFonts w:ascii="Book Antiqua" w:hAnsi="Book Antiqua"/>
          <w:sz w:val="22"/>
          <w:szCs w:val="22"/>
          <w:lang w:val="es-MX"/>
        </w:rPr>
      </w:pPr>
    </w:p>
    <w:p w14:paraId="7232D094" w14:textId="77777777" w:rsidR="00A84E49" w:rsidRPr="003E2563" w:rsidRDefault="00A84E49" w:rsidP="000753F6">
      <w:pPr>
        <w:jc w:val="both"/>
        <w:rPr>
          <w:rFonts w:ascii="Book Antiqua" w:hAnsi="Book Antiqua"/>
          <w:sz w:val="22"/>
          <w:szCs w:val="22"/>
          <w:lang w:val="es-MX"/>
        </w:rPr>
      </w:pPr>
    </w:p>
    <w:p w14:paraId="2278A2C5" w14:textId="77777777" w:rsidR="00DF129E" w:rsidRPr="003E2563" w:rsidRDefault="00DF129E" w:rsidP="00DF129E">
      <w:pPr>
        <w:jc w:val="both"/>
        <w:rPr>
          <w:rFonts w:ascii="Book Antiqua" w:hAnsi="Book Antiqua"/>
          <w:i/>
          <w:iCs/>
          <w:sz w:val="22"/>
          <w:szCs w:val="22"/>
          <w:lang w:val="es-MX"/>
        </w:rPr>
      </w:pPr>
      <w:r w:rsidRPr="003E2563">
        <w:rPr>
          <w:rFonts w:ascii="Book Antiqua" w:hAnsi="Book Antiqua"/>
          <w:i/>
          <w:iCs/>
          <w:sz w:val="22"/>
          <w:szCs w:val="22"/>
          <w:lang w:val="es-MX"/>
        </w:rPr>
        <w:t xml:space="preserve">[HOJA DE FIRMAS DEL CONVENIO DE CESIÓN CELEBRADO ENTRE </w:t>
      </w:r>
      <w:r w:rsidRPr="00DF129E">
        <w:rPr>
          <w:rFonts w:ascii="Book Antiqua" w:hAnsi="Book Antiqua"/>
          <w:i/>
          <w:iCs/>
          <w:sz w:val="22"/>
          <w:szCs w:val="22"/>
          <w:lang w:val="es-MX"/>
        </w:rPr>
        <w:t>BANCO ACTINVER, S.A., INSTITUCIÓN DE BANCA MÚLTIPLE, GRUPO FINANCIERO ACTINVER, DIVISIÓN FIDUCIARIA, EN SU CARÁCTER DE FIDUCIARIO DEL CONTRATO DE FIDEICOMISO IRREVOCABLE IDENTIFICADO CON EL NÚMERO 1721, COMO CESIONARIO, Y POR LA OTRA PARTE [TENEDOR], COMO CEDENTE</w:t>
      </w:r>
      <w:r w:rsidRPr="003E2563">
        <w:rPr>
          <w:rFonts w:ascii="Book Antiqua" w:hAnsi="Book Antiqua"/>
          <w:i/>
          <w:iCs/>
          <w:sz w:val="22"/>
          <w:szCs w:val="22"/>
          <w:lang w:val="es-MX"/>
        </w:rPr>
        <w:t>.]</w:t>
      </w:r>
    </w:p>
    <w:p w14:paraId="090933B7" w14:textId="77777777" w:rsidR="00586F85" w:rsidRPr="00586F85" w:rsidRDefault="00F50320" w:rsidP="00586F85">
      <w:pPr>
        <w:spacing w:after="200"/>
        <w:jc w:val="right"/>
        <w:rPr>
          <w:rFonts w:ascii="Book Antiqua" w:hAnsi="Book Antiqua"/>
          <w:b/>
          <w:bCs/>
          <w:sz w:val="22"/>
          <w:szCs w:val="22"/>
          <w:u w:val="single"/>
          <w:lang w:val="es-MX"/>
        </w:rPr>
      </w:pPr>
      <w:r w:rsidRPr="003E2563">
        <w:rPr>
          <w:rFonts w:ascii="Book Antiqua" w:hAnsi="Book Antiqua"/>
          <w:sz w:val="22"/>
          <w:szCs w:val="22"/>
          <w:lang w:val="es-MX"/>
        </w:rPr>
        <w:br w:type="page"/>
      </w:r>
      <w:bookmarkEnd w:id="14"/>
      <w:r w:rsidR="00586F85" w:rsidRPr="00586F85">
        <w:rPr>
          <w:rFonts w:ascii="Book Antiqua" w:hAnsi="Book Antiqua"/>
          <w:b/>
          <w:bCs/>
          <w:sz w:val="22"/>
          <w:szCs w:val="22"/>
          <w:u w:val="single"/>
          <w:lang w:val="es-MX"/>
        </w:rPr>
        <w:lastRenderedPageBreak/>
        <w:t>Anexo “</w:t>
      </w:r>
      <w:r w:rsidR="00586F85">
        <w:rPr>
          <w:rFonts w:ascii="Book Antiqua" w:hAnsi="Book Antiqua"/>
          <w:b/>
          <w:bCs/>
          <w:sz w:val="22"/>
          <w:szCs w:val="22"/>
          <w:u w:val="single"/>
          <w:lang w:val="es-MX"/>
        </w:rPr>
        <w:t>A</w:t>
      </w:r>
      <w:r w:rsidR="00586F85" w:rsidRPr="00586F85">
        <w:rPr>
          <w:rFonts w:ascii="Book Antiqua" w:hAnsi="Book Antiqua"/>
          <w:b/>
          <w:bCs/>
          <w:sz w:val="22"/>
          <w:szCs w:val="22"/>
          <w:u w:val="single"/>
          <w:lang w:val="es-MX"/>
        </w:rPr>
        <w:t>”</w:t>
      </w:r>
    </w:p>
    <w:p w14:paraId="4111A648" w14:textId="77777777" w:rsidR="00586F85" w:rsidRPr="00586F85" w:rsidRDefault="00586F85" w:rsidP="00586F85">
      <w:pPr>
        <w:spacing w:after="200"/>
        <w:jc w:val="right"/>
        <w:rPr>
          <w:rFonts w:ascii="Book Antiqua" w:hAnsi="Book Antiqua"/>
          <w:b/>
          <w:bCs/>
          <w:sz w:val="22"/>
          <w:szCs w:val="22"/>
          <w:lang w:val="es-MX"/>
        </w:rPr>
      </w:pPr>
      <w:commentRangeStart w:id="17"/>
      <w:r>
        <w:rPr>
          <w:rFonts w:ascii="Book Antiqua" w:hAnsi="Book Antiqua"/>
          <w:b/>
          <w:bCs/>
          <w:sz w:val="22"/>
          <w:szCs w:val="22"/>
          <w:lang w:val="es-MX"/>
        </w:rPr>
        <w:t>Copia de Constancia de Indeval y Listado de Posiciones de Casa de Bolsa</w:t>
      </w:r>
      <w:commentRangeEnd w:id="17"/>
      <w:r w:rsidR="00B84984">
        <w:rPr>
          <w:rStyle w:val="CommentReference"/>
        </w:rPr>
        <w:commentReference w:id="17"/>
      </w:r>
    </w:p>
    <w:p w14:paraId="5D24F7D7" w14:textId="77777777" w:rsidR="00586F85" w:rsidRDefault="00586F85" w:rsidP="00586F85">
      <w:pPr>
        <w:spacing w:after="200"/>
        <w:jc w:val="center"/>
        <w:rPr>
          <w:rFonts w:ascii="Book Antiqua" w:hAnsi="Book Antiqua"/>
          <w:sz w:val="22"/>
          <w:szCs w:val="22"/>
          <w:lang w:val="es-MX"/>
        </w:rPr>
      </w:pPr>
      <w:r>
        <w:rPr>
          <w:rFonts w:ascii="Book Antiqua" w:hAnsi="Book Antiqua"/>
          <w:sz w:val="22"/>
          <w:szCs w:val="22"/>
          <w:lang w:val="es-MX"/>
        </w:rPr>
        <w:t>[</w:t>
      </w:r>
      <w:r>
        <w:rPr>
          <w:rFonts w:ascii="Book Antiqua" w:hAnsi="Book Antiqua"/>
          <w:i/>
          <w:iCs/>
          <w:sz w:val="22"/>
          <w:szCs w:val="22"/>
          <w:lang w:val="es-MX"/>
        </w:rPr>
        <w:t>Se adjunta</w:t>
      </w:r>
      <w:r>
        <w:rPr>
          <w:rFonts w:ascii="Book Antiqua" w:hAnsi="Book Antiqua"/>
          <w:sz w:val="22"/>
          <w:szCs w:val="22"/>
          <w:lang w:val="es-MX"/>
        </w:rPr>
        <w:t>]</w:t>
      </w:r>
    </w:p>
    <w:p w14:paraId="6E44CB38" w14:textId="77777777" w:rsidR="00586F85" w:rsidRDefault="00586F85" w:rsidP="00586F85">
      <w:pPr>
        <w:spacing w:after="200"/>
        <w:jc w:val="right"/>
        <w:rPr>
          <w:rFonts w:ascii="Book Antiqua" w:hAnsi="Book Antiqua"/>
          <w:sz w:val="22"/>
          <w:szCs w:val="22"/>
          <w:lang w:val="es-MX"/>
        </w:rPr>
      </w:pPr>
      <w:r>
        <w:rPr>
          <w:rFonts w:ascii="Book Antiqua" w:hAnsi="Book Antiqua"/>
          <w:sz w:val="22"/>
          <w:szCs w:val="22"/>
          <w:lang w:val="es-MX"/>
        </w:rPr>
        <w:br w:type="page"/>
      </w:r>
    </w:p>
    <w:p w14:paraId="6035148F" w14:textId="77777777" w:rsidR="00CB16A5" w:rsidRPr="00586F85" w:rsidRDefault="00CB16A5" w:rsidP="00586F85">
      <w:pPr>
        <w:spacing w:after="200"/>
        <w:jc w:val="right"/>
        <w:rPr>
          <w:rFonts w:ascii="Book Antiqua" w:hAnsi="Book Antiqua"/>
          <w:b/>
          <w:bCs/>
          <w:sz w:val="22"/>
          <w:szCs w:val="22"/>
          <w:u w:val="single"/>
          <w:lang w:val="es-MX"/>
        </w:rPr>
      </w:pPr>
      <w:r w:rsidRPr="00586F85">
        <w:rPr>
          <w:rFonts w:ascii="Book Antiqua" w:hAnsi="Book Antiqua"/>
          <w:b/>
          <w:bCs/>
          <w:sz w:val="22"/>
          <w:szCs w:val="22"/>
          <w:u w:val="single"/>
          <w:lang w:val="es-MX"/>
        </w:rPr>
        <w:lastRenderedPageBreak/>
        <w:t>Anexo “</w:t>
      </w:r>
      <w:r w:rsidR="00586F85" w:rsidRPr="00586F85">
        <w:rPr>
          <w:rFonts w:ascii="Book Antiqua" w:hAnsi="Book Antiqua"/>
          <w:b/>
          <w:bCs/>
          <w:sz w:val="22"/>
          <w:szCs w:val="22"/>
          <w:u w:val="single"/>
          <w:lang w:val="es-MX"/>
        </w:rPr>
        <w:t>B</w:t>
      </w:r>
      <w:r w:rsidRPr="00586F85">
        <w:rPr>
          <w:rFonts w:ascii="Book Antiqua" w:hAnsi="Book Antiqua"/>
          <w:b/>
          <w:bCs/>
          <w:sz w:val="22"/>
          <w:szCs w:val="22"/>
          <w:u w:val="single"/>
          <w:lang w:val="es-MX"/>
        </w:rPr>
        <w:t>”</w:t>
      </w:r>
    </w:p>
    <w:p w14:paraId="6F629D78" w14:textId="77777777" w:rsidR="00F50320" w:rsidRPr="00586F85" w:rsidRDefault="00CB16A5" w:rsidP="00CB16A5">
      <w:pPr>
        <w:spacing w:after="200"/>
        <w:jc w:val="right"/>
        <w:rPr>
          <w:rFonts w:ascii="Book Antiqua" w:hAnsi="Book Antiqua"/>
          <w:b/>
          <w:bCs/>
          <w:sz w:val="22"/>
          <w:szCs w:val="22"/>
          <w:lang w:val="es-MX"/>
        </w:rPr>
      </w:pPr>
      <w:proofErr w:type="spellStart"/>
      <w:r w:rsidRPr="00586F85">
        <w:rPr>
          <w:rFonts w:ascii="Book Antiqua" w:hAnsi="Book Antiqua"/>
          <w:b/>
          <w:bCs/>
          <w:sz w:val="22"/>
          <w:szCs w:val="22"/>
          <w:lang w:val="es-MX"/>
        </w:rPr>
        <w:t>CBFIs</w:t>
      </w:r>
      <w:proofErr w:type="spellEnd"/>
      <w:r w:rsidRPr="00586F85">
        <w:rPr>
          <w:rFonts w:ascii="Book Antiqua" w:hAnsi="Book Antiqua"/>
          <w:b/>
          <w:bCs/>
          <w:sz w:val="22"/>
          <w:szCs w:val="22"/>
          <w:lang w:val="es-MX"/>
        </w:rPr>
        <w:t xml:space="preserve"> Cedidos</w:t>
      </w:r>
    </w:p>
    <w:p w14:paraId="4FEDE879" w14:textId="447C4FE6" w:rsidR="00B84984" w:rsidRDefault="00B84984" w:rsidP="00B84984">
      <w:pPr>
        <w:spacing w:after="200"/>
        <w:rPr>
          <w:rFonts w:ascii="Book Antiqua" w:hAnsi="Book Antiqua"/>
          <w:sz w:val="22"/>
          <w:szCs w:val="22"/>
          <w:lang w:val="es-MX"/>
        </w:rPr>
      </w:pPr>
    </w:p>
    <w:tbl>
      <w:tblPr>
        <w:tblStyle w:val="TableGrid"/>
        <w:tblW w:w="0" w:type="auto"/>
        <w:tblLook w:val="04A0" w:firstRow="1" w:lastRow="0" w:firstColumn="1" w:lastColumn="0" w:noHBand="0" w:noVBand="1"/>
      </w:tblPr>
      <w:tblGrid>
        <w:gridCol w:w="5035"/>
        <w:gridCol w:w="5035"/>
      </w:tblGrid>
      <w:tr w:rsidR="00B84984" w14:paraId="3158464C" w14:textId="77777777" w:rsidTr="00B84984">
        <w:tc>
          <w:tcPr>
            <w:tcW w:w="5035" w:type="dxa"/>
          </w:tcPr>
          <w:p w14:paraId="49B7EEB7" w14:textId="6BE36EDB" w:rsidR="00B84984" w:rsidRDefault="00B84984" w:rsidP="00525319">
            <w:pPr>
              <w:spacing w:after="200"/>
              <w:jc w:val="center"/>
              <w:rPr>
                <w:rFonts w:ascii="Book Antiqua" w:hAnsi="Book Antiqua"/>
                <w:sz w:val="22"/>
                <w:szCs w:val="22"/>
                <w:lang w:val="es-MX"/>
              </w:rPr>
            </w:pPr>
            <w:r>
              <w:rPr>
                <w:rFonts w:ascii="Book Antiqua" w:hAnsi="Book Antiqua"/>
                <w:sz w:val="22"/>
                <w:szCs w:val="22"/>
                <w:lang w:val="es-MX"/>
              </w:rPr>
              <w:t>Nombre Completo del Tenedor</w:t>
            </w:r>
          </w:p>
        </w:tc>
        <w:tc>
          <w:tcPr>
            <w:tcW w:w="5035" w:type="dxa"/>
          </w:tcPr>
          <w:p w14:paraId="304DBCFF" w14:textId="2DCA6340" w:rsidR="00B84984" w:rsidRDefault="00B84984" w:rsidP="00525319">
            <w:pPr>
              <w:spacing w:after="200"/>
              <w:jc w:val="center"/>
              <w:rPr>
                <w:rFonts w:ascii="Book Antiqua" w:hAnsi="Book Antiqua"/>
                <w:sz w:val="22"/>
                <w:szCs w:val="22"/>
                <w:lang w:val="es-MX"/>
              </w:rPr>
            </w:pPr>
            <w:r>
              <w:rPr>
                <w:rFonts w:ascii="Book Antiqua" w:hAnsi="Book Antiqua"/>
                <w:sz w:val="22"/>
                <w:szCs w:val="22"/>
                <w:lang w:val="es-MX"/>
              </w:rPr>
              <w:t xml:space="preserve">Número de </w:t>
            </w:r>
            <w:proofErr w:type="spellStart"/>
            <w:r>
              <w:rPr>
                <w:rFonts w:ascii="Book Antiqua" w:hAnsi="Book Antiqua"/>
                <w:sz w:val="22"/>
                <w:szCs w:val="22"/>
                <w:lang w:val="es-MX"/>
              </w:rPr>
              <w:t>CBFIs</w:t>
            </w:r>
            <w:proofErr w:type="spellEnd"/>
            <w:r>
              <w:rPr>
                <w:rFonts w:ascii="Book Antiqua" w:hAnsi="Book Antiqua"/>
                <w:sz w:val="22"/>
                <w:szCs w:val="22"/>
                <w:lang w:val="es-MX"/>
              </w:rPr>
              <w:t xml:space="preserve"> que serán </w:t>
            </w:r>
            <w:commentRangeStart w:id="18"/>
            <w:r>
              <w:rPr>
                <w:rFonts w:ascii="Book Antiqua" w:hAnsi="Book Antiqua"/>
                <w:sz w:val="22"/>
                <w:szCs w:val="22"/>
                <w:lang w:val="es-MX"/>
              </w:rPr>
              <w:t>cedidos</w:t>
            </w:r>
            <w:commentRangeEnd w:id="18"/>
            <w:r>
              <w:rPr>
                <w:rStyle w:val="CommentReference"/>
              </w:rPr>
              <w:commentReference w:id="18"/>
            </w:r>
          </w:p>
        </w:tc>
      </w:tr>
      <w:tr w:rsidR="00B84984" w14:paraId="75779DF6" w14:textId="77777777" w:rsidTr="00B84984">
        <w:tc>
          <w:tcPr>
            <w:tcW w:w="5035" w:type="dxa"/>
          </w:tcPr>
          <w:p w14:paraId="228DAC46" w14:textId="0D4FDA2A" w:rsidR="00B84984" w:rsidRDefault="00B84984" w:rsidP="00525319">
            <w:pPr>
              <w:spacing w:after="200"/>
              <w:jc w:val="center"/>
              <w:rPr>
                <w:rFonts w:ascii="Book Antiqua" w:hAnsi="Book Antiqua"/>
                <w:sz w:val="22"/>
                <w:szCs w:val="22"/>
                <w:lang w:val="es-MX"/>
              </w:rPr>
            </w:pPr>
            <w:permStart w:id="1661882859" w:edGrp="everyone"/>
            <w:r w:rsidRPr="003E2563">
              <w:rPr>
                <w:rFonts w:ascii="Book Antiqua" w:hAnsi="Book Antiqua"/>
                <w:b/>
                <w:bCs/>
                <w:sz w:val="22"/>
                <w:szCs w:val="22"/>
                <w:lang w:val="es-MX"/>
              </w:rPr>
              <w:t>[•]</w:t>
            </w:r>
            <w:permEnd w:id="1661882859"/>
          </w:p>
        </w:tc>
        <w:tc>
          <w:tcPr>
            <w:tcW w:w="5035" w:type="dxa"/>
          </w:tcPr>
          <w:p w14:paraId="3016CB07" w14:textId="6E4BDC68" w:rsidR="00B84984" w:rsidRDefault="00B84984" w:rsidP="00525319">
            <w:pPr>
              <w:spacing w:after="200"/>
              <w:jc w:val="center"/>
              <w:rPr>
                <w:rFonts w:ascii="Book Antiqua" w:hAnsi="Book Antiqua"/>
                <w:sz w:val="22"/>
                <w:szCs w:val="22"/>
                <w:lang w:val="es-MX"/>
              </w:rPr>
            </w:pPr>
            <w:permStart w:id="660428419" w:edGrp="everyone"/>
            <w:r w:rsidRPr="003E2563">
              <w:rPr>
                <w:rFonts w:ascii="Book Antiqua" w:hAnsi="Book Antiqua"/>
                <w:b/>
                <w:bCs/>
                <w:sz w:val="22"/>
                <w:szCs w:val="22"/>
                <w:lang w:val="es-MX"/>
              </w:rPr>
              <w:t>[•]</w:t>
            </w:r>
            <w:permEnd w:id="660428419"/>
          </w:p>
        </w:tc>
      </w:tr>
    </w:tbl>
    <w:p w14:paraId="353FF789" w14:textId="215834CA" w:rsidR="00CB16A5" w:rsidRDefault="00CB16A5" w:rsidP="00525319">
      <w:pPr>
        <w:spacing w:after="200"/>
        <w:jc w:val="center"/>
        <w:rPr>
          <w:rFonts w:ascii="Book Antiqua" w:hAnsi="Book Antiqua"/>
          <w:sz w:val="22"/>
          <w:szCs w:val="22"/>
          <w:lang w:val="es-MX"/>
        </w:rPr>
      </w:pPr>
    </w:p>
    <w:p w14:paraId="72080ED2" w14:textId="77777777" w:rsidR="00CF40D5" w:rsidRDefault="00CF40D5" w:rsidP="00525319">
      <w:pPr>
        <w:spacing w:after="200"/>
        <w:jc w:val="center"/>
        <w:rPr>
          <w:rFonts w:ascii="Book Antiqua" w:hAnsi="Book Antiqua"/>
          <w:sz w:val="22"/>
          <w:szCs w:val="22"/>
          <w:lang w:val="es-MX"/>
        </w:rPr>
      </w:pPr>
    </w:p>
    <w:p w14:paraId="3A2D7624" w14:textId="77777777" w:rsidR="00CF40D5" w:rsidRPr="00586F85" w:rsidRDefault="00CF40D5" w:rsidP="00CF40D5">
      <w:pPr>
        <w:spacing w:after="200"/>
        <w:jc w:val="right"/>
        <w:rPr>
          <w:rFonts w:ascii="Book Antiqua" w:hAnsi="Book Antiqua"/>
          <w:b/>
          <w:bCs/>
          <w:sz w:val="22"/>
          <w:szCs w:val="22"/>
          <w:u w:val="single"/>
          <w:lang w:val="es-MX"/>
        </w:rPr>
      </w:pPr>
      <w:r>
        <w:rPr>
          <w:rFonts w:ascii="Book Antiqua" w:hAnsi="Book Antiqua"/>
          <w:sz w:val="22"/>
          <w:szCs w:val="22"/>
          <w:lang w:val="es-MX"/>
        </w:rPr>
        <w:br w:type="page"/>
      </w:r>
      <w:r w:rsidRPr="00586F85">
        <w:rPr>
          <w:rFonts w:ascii="Book Antiqua" w:hAnsi="Book Antiqua"/>
          <w:b/>
          <w:bCs/>
          <w:sz w:val="22"/>
          <w:szCs w:val="22"/>
          <w:u w:val="single"/>
          <w:lang w:val="es-MX"/>
        </w:rPr>
        <w:lastRenderedPageBreak/>
        <w:t>Anexo “</w:t>
      </w:r>
      <w:r w:rsidR="00586F85" w:rsidRPr="00586F85">
        <w:rPr>
          <w:rFonts w:ascii="Book Antiqua" w:hAnsi="Book Antiqua"/>
          <w:b/>
          <w:bCs/>
          <w:sz w:val="22"/>
          <w:szCs w:val="22"/>
          <w:u w:val="single"/>
          <w:lang w:val="es-MX"/>
        </w:rPr>
        <w:t>C</w:t>
      </w:r>
      <w:r w:rsidRPr="00586F85">
        <w:rPr>
          <w:rFonts w:ascii="Book Antiqua" w:hAnsi="Book Antiqua"/>
          <w:b/>
          <w:bCs/>
          <w:sz w:val="22"/>
          <w:szCs w:val="22"/>
          <w:u w:val="single"/>
          <w:lang w:val="es-MX"/>
        </w:rPr>
        <w:t>”</w:t>
      </w:r>
    </w:p>
    <w:p w14:paraId="7D1A139F" w14:textId="77777777" w:rsidR="00CF40D5" w:rsidRPr="00586F85" w:rsidRDefault="00CF40D5" w:rsidP="00CF40D5">
      <w:pPr>
        <w:spacing w:after="200"/>
        <w:jc w:val="right"/>
        <w:rPr>
          <w:rFonts w:ascii="Book Antiqua" w:hAnsi="Book Antiqua"/>
          <w:b/>
          <w:bCs/>
          <w:sz w:val="22"/>
          <w:szCs w:val="22"/>
          <w:lang w:val="es-MX"/>
        </w:rPr>
      </w:pPr>
      <w:r w:rsidRPr="00586F85">
        <w:rPr>
          <w:rFonts w:ascii="Book Antiqua" w:hAnsi="Book Antiqua"/>
          <w:b/>
          <w:bCs/>
          <w:sz w:val="22"/>
          <w:szCs w:val="22"/>
          <w:lang w:val="es-MX"/>
        </w:rPr>
        <w:t xml:space="preserve">Aviso de Venta de </w:t>
      </w:r>
      <w:proofErr w:type="spellStart"/>
      <w:r w:rsidRPr="00586F85">
        <w:rPr>
          <w:rFonts w:ascii="Book Antiqua" w:hAnsi="Book Antiqua"/>
          <w:b/>
          <w:bCs/>
          <w:sz w:val="22"/>
          <w:szCs w:val="22"/>
          <w:lang w:val="es-MX"/>
        </w:rPr>
        <w:t>CBFIs</w:t>
      </w:r>
      <w:proofErr w:type="spellEnd"/>
      <w:r w:rsidRPr="00586F85">
        <w:rPr>
          <w:rFonts w:ascii="Book Antiqua" w:hAnsi="Book Antiqua"/>
          <w:b/>
          <w:bCs/>
          <w:sz w:val="22"/>
          <w:szCs w:val="22"/>
          <w:lang w:val="es-MX"/>
        </w:rPr>
        <w:t xml:space="preserve"> Remanentes </w:t>
      </w:r>
    </w:p>
    <w:p w14:paraId="6C6FC514" w14:textId="77777777" w:rsidR="00CF40D5" w:rsidRDefault="00CF40D5" w:rsidP="00CF40D5">
      <w:pPr>
        <w:spacing w:after="200"/>
        <w:jc w:val="center"/>
        <w:rPr>
          <w:rFonts w:ascii="Book Antiqua" w:hAnsi="Book Antiqua"/>
          <w:sz w:val="22"/>
          <w:szCs w:val="22"/>
          <w:lang w:val="es-MX"/>
        </w:rPr>
      </w:pPr>
      <w:r>
        <w:rPr>
          <w:rFonts w:ascii="Book Antiqua" w:hAnsi="Book Antiqua"/>
          <w:sz w:val="22"/>
          <w:szCs w:val="22"/>
          <w:lang w:val="es-MX"/>
        </w:rPr>
        <w:t>[</w:t>
      </w:r>
      <w:r>
        <w:rPr>
          <w:rFonts w:ascii="Book Antiqua" w:hAnsi="Book Antiqua"/>
          <w:i/>
          <w:iCs/>
          <w:sz w:val="22"/>
          <w:szCs w:val="22"/>
          <w:lang w:val="es-MX"/>
        </w:rPr>
        <w:t>Se adjunta</w:t>
      </w:r>
      <w:r>
        <w:rPr>
          <w:rFonts w:ascii="Book Antiqua" w:hAnsi="Book Antiqua"/>
          <w:sz w:val="22"/>
          <w:szCs w:val="22"/>
          <w:lang w:val="es-MX"/>
        </w:rPr>
        <w:t>]</w:t>
      </w:r>
    </w:p>
    <w:p w14:paraId="16E87619" w14:textId="77777777" w:rsidR="00CF40D5" w:rsidRPr="003E2563" w:rsidRDefault="00CF40D5" w:rsidP="00525319">
      <w:pPr>
        <w:spacing w:after="200"/>
        <w:jc w:val="center"/>
        <w:rPr>
          <w:rFonts w:ascii="Book Antiqua" w:hAnsi="Book Antiqua"/>
          <w:i/>
          <w:iCs/>
          <w:sz w:val="22"/>
          <w:szCs w:val="22"/>
          <w:lang w:val="es-MX"/>
        </w:rPr>
      </w:pPr>
    </w:p>
    <w:sectPr w:rsidR="00CF40D5" w:rsidRPr="003E2563" w:rsidSect="00A20D5B">
      <w:footerReference w:type="default" r:id="rId12"/>
      <w:headerReference w:type="first" r:id="rId13"/>
      <w:footerReference w:type="first" r:id="rId14"/>
      <w:pgSz w:w="12240" w:h="15840" w:code="1"/>
      <w:pgMar w:top="1440" w:right="1080" w:bottom="1440" w:left="1080" w:header="709" w:footer="531"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az, Jose Antonio" w:date="2026-03-02T13:33:00Z" w:initials="JD">
    <w:p w14:paraId="0C8ADD32" w14:textId="77777777" w:rsidR="003337F9" w:rsidRDefault="003337F9" w:rsidP="003337F9">
      <w:pPr>
        <w:pStyle w:val="CommentText"/>
      </w:pPr>
      <w:r>
        <w:rPr>
          <w:rStyle w:val="CommentReference"/>
        </w:rPr>
        <w:annotationRef/>
      </w:r>
      <w:r>
        <w:rPr>
          <w:lang w:val="es-419"/>
        </w:rPr>
        <w:t>Agregar fecha</w:t>
      </w:r>
    </w:p>
  </w:comment>
  <w:comment w:id="3" w:author="Diaz, Jose Antonio" w:date="2026-03-02T13:33:00Z" w:initials="JD">
    <w:p w14:paraId="017485EC" w14:textId="77777777" w:rsidR="003337F9" w:rsidRDefault="003337F9" w:rsidP="003337F9">
      <w:pPr>
        <w:pStyle w:val="CommentText"/>
      </w:pPr>
      <w:r>
        <w:rPr>
          <w:rStyle w:val="CommentReference"/>
        </w:rPr>
        <w:annotationRef/>
      </w:r>
      <w:r>
        <w:rPr>
          <w:lang w:val="es-419"/>
        </w:rPr>
        <w:t>Nombre completo del tenedor</w:t>
      </w:r>
    </w:p>
  </w:comment>
  <w:comment w:id="5" w:author="Diaz, Jose Antonio" w:date="2026-03-02T13:33:00Z" w:initials="JD">
    <w:p w14:paraId="0E2DE3D5" w14:textId="77777777" w:rsidR="00B84984" w:rsidRDefault="003337F9" w:rsidP="00B84984">
      <w:pPr>
        <w:pStyle w:val="CommentText"/>
      </w:pPr>
      <w:r>
        <w:rPr>
          <w:rStyle w:val="CommentReference"/>
        </w:rPr>
        <w:annotationRef/>
      </w:r>
      <w:r w:rsidR="00B84984">
        <w:rPr>
          <w:lang w:val="es-419"/>
        </w:rPr>
        <w:t>Confirmar o modificar según sea aplicable</w:t>
      </w:r>
    </w:p>
  </w:comment>
  <w:comment w:id="6" w:author="Diaz, Jose Antonio" w:date="2026-03-02T13:33:00Z" w:initials="JD">
    <w:p w14:paraId="62B33A1F" w14:textId="1ED9FFD3" w:rsidR="003337F9" w:rsidRDefault="003337F9" w:rsidP="003337F9">
      <w:pPr>
        <w:pStyle w:val="CommentText"/>
      </w:pPr>
      <w:r>
        <w:rPr>
          <w:rStyle w:val="CommentReference"/>
        </w:rPr>
        <w:annotationRef/>
      </w:r>
      <w:r>
        <w:rPr>
          <w:lang w:val="es-419"/>
        </w:rPr>
        <w:t>Establecer identificación</w:t>
      </w:r>
    </w:p>
  </w:comment>
  <w:comment w:id="7" w:author="Diaz, Jose Antonio" w:date="2026-03-02T13:34:00Z" w:initials="JD">
    <w:p w14:paraId="57214085" w14:textId="77777777" w:rsidR="003337F9" w:rsidRDefault="003337F9" w:rsidP="003337F9">
      <w:pPr>
        <w:pStyle w:val="CommentText"/>
      </w:pPr>
      <w:r>
        <w:rPr>
          <w:rStyle w:val="CommentReference"/>
        </w:rPr>
        <w:annotationRef/>
      </w:r>
      <w:r>
        <w:rPr>
          <w:lang w:val="es-419"/>
        </w:rPr>
        <w:t>Establecer número de CBFIs de los que es titular</w:t>
      </w:r>
    </w:p>
  </w:comment>
  <w:comment w:id="8" w:author="Diaz, Jose Antonio" w:date="2026-03-02T17:42:00Z" w:initials="JD">
    <w:p w14:paraId="6F1BEE58" w14:textId="77777777" w:rsidR="00B84984" w:rsidRDefault="00B84984" w:rsidP="00B84984">
      <w:pPr>
        <w:pStyle w:val="CommentText"/>
      </w:pPr>
      <w:r>
        <w:rPr>
          <w:rStyle w:val="CommentReference"/>
        </w:rPr>
        <w:annotationRef/>
      </w:r>
      <w:r>
        <w:rPr>
          <w:lang w:val="es-419"/>
        </w:rPr>
        <w:t>Solicitar a su Casa de Bolsa</w:t>
      </w:r>
    </w:p>
  </w:comment>
  <w:comment w:id="9" w:author="Diaz, Jose Antonio" w:date="2026-03-02T17:44:00Z" w:initials="JD">
    <w:p w14:paraId="24768157" w14:textId="77777777" w:rsidR="00B84984" w:rsidRDefault="00B84984" w:rsidP="00B84984">
      <w:pPr>
        <w:pStyle w:val="CommentText"/>
      </w:pPr>
      <w:r>
        <w:rPr>
          <w:rStyle w:val="CommentReference"/>
        </w:rPr>
        <w:annotationRef/>
      </w:r>
      <w:r>
        <w:rPr>
          <w:lang w:val="es-419"/>
        </w:rPr>
        <w:t>Establecer número de CBFIs</w:t>
      </w:r>
    </w:p>
  </w:comment>
  <w:comment w:id="11" w:author="Diaz, Jose Antonio" w:date="2026-03-02T13:34:00Z" w:initials="JD">
    <w:p w14:paraId="5F408B3F" w14:textId="3A41C483" w:rsidR="003337F9" w:rsidRDefault="003337F9" w:rsidP="003337F9">
      <w:pPr>
        <w:pStyle w:val="CommentText"/>
      </w:pPr>
      <w:r>
        <w:rPr>
          <w:rStyle w:val="CommentReference"/>
        </w:rPr>
        <w:annotationRef/>
      </w:r>
      <w:r>
        <w:rPr>
          <w:lang w:val="es-419"/>
        </w:rPr>
        <w:t>Establecer información</w:t>
      </w:r>
    </w:p>
  </w:comment>
  <w:comment w:id="12" w:author="Diaz, Jose Antonio" w:date="2026-03-02T13:34:00Z" w:initials="JD">
    <w:p w14:paraId="159F7BC5" w14:textId="77777777" w:rsidR="003337F9" w:rsidRDefault="003337F9" w:rsidP="003337F9">
      <w:pPr>
        <w:pStyle w:val="CommentText"/>
      </w:pPr>
      <w:r>
        <w:rPr>
          <w:rStyle w:val="CommentReference"/>
        </w:rPr>
        <w:annotationRef/>
      </w:r>
      <w:r>
        <w:rPr>
          <w:lang w:val="es-419"/>
        </w:rPr>
        <w:t>Agregar fecha</w:t>
      </w:r>
    </w:p>
  </w:comment>
  <w:comment w:id="15" w:author="Diaz, Jose Antonio" w:date="2026-03-02T13:35:00Z" w:initials="JD">
    <w:p w14:paraId="61A108D7" w14:textId="77777777" w:rsidR="003337F9" w:rsidRDefault="003337F9" w:rsidP="003337F9">
      <w:pPr>
        <w:pStyle w:val="CommentText"/>
      </w:pPr>
      <w:r>
        <w:rPr>
          <w:rStyle w:val="CommentReference"/>
        </w:rPr>
        <w:annotationRef/>
      </w:r>
      <w:r>
        <w:rPr>
          <w:lang w:val="es-419"/>
        </w:rPr>
        <w:t>Establecer nombre completo</w:t>
      </w:r>
    </w:p>
  </w:comment>
  <w:comment w:id="17" w:author="Diaz, Jose Antonio" w:date="2026-03-02T17:42:00Z" w:initials="JD">
    <w:p w14:paraId="248AA9B9" w14:textId="77777777" w:rsidR="00B84984" w:rsidRDefault="00B84984" w:rsidP="00B84984">
      <w:pPr>
        <w:pStyle w:val="CommentText"/>
      </w:pPr>
      <w:r>
        <w:rPr>
          <w:rStyle w:val="CommentReference"/>
        </w:rPr>
        <w:annotationRef/>
      </w:r>
      <w:r>
        <w:rPr>
          <w:lang w:val="es-419"/>
        </w:rPr>
        <w:t>Solicitar a su Casa de Bolsa</w:t>
      </w:r>
    </w:p>
  </w:comment>
  <w:comment w:id="18" w:author="Diaz, Jose Antonio" w:date="2026-03-02T17:40:00Z" w:initials="JD">
    <w:p w14:paraId="0EA5D613" w14:textId="5A305179" w:rsidR="00B84984" w:rsidRDefault="00B84984" w:rsidP="00B84984">
      <w:pPr>
        <w:pStyle w:val="CommentText"/>
      </w:pPr>
      <w:r>
        <w:rPr>
          <w:rStyle w:val="CommentReference"/>
        </w:rPr>
        <w:annotationRef/>
      </w:r>
      <w:r>
        <w:rPr>
          <w:lang w:val="es-419"/>
        </w:rPr>
        <w:t>Establecer datod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8ADD32" w15:done="0"/>
  <w15:commentEx w15:paraId="017485EC" w15:done="0"/>
  <w15:commentEx w15:paraId="0E2DE3D5" w15:done="0"/>
  <w15:commentEx w15:paraId="62B33A1F" w15:done="0"/>
  <w15:commentEx w15:paraId="57214085" w15:done="0"/>
  <w15:commentEx w15:paraId="6F1BEE58" w15:done="0"/>
  <w15:commentEx w15:paraId="24768157" w15:done="0"/>
  <w15:commentEx w15:paraId="5F408B3F" w15:done="0"/>
  <w15:commentEx w15:paraId="159F7BC5" w15:done="0"/>
  <w15:commentEx w15:paraId="61A108D7" w15:done="0"/>
  <w15:commentEx w15:paraId="248AA9B9" w15:done="0"/>
  <w15:commentEx w15:paraId="0EA5D6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E4490" w16cex:dateUtc="2026-03-02T19:33:00Z"/>
  <w16cex:commentExtensible w16cex:durableId="11EA4F02" w16cex:dateUtc="2026-03-02T19:33:00Z"/>
  <w16cex:commentExtensible w16cex:durableId="05A3978A" w16cex:dateUtc="2026-03-02T19:33:00Z"/>
  <w16cex:commentExtensible w16cex:durableId="0150C344" w16cex:dateUtc="2026-03-02T19:33:00Z"/>
  <w16cex:commentExtensible w16cex:durableId="6D6E2E8D" w16cex:dateUtc="2026-03-02T19:34:00Z"/>
  <w16cex:commentExtensible w16cex:durableId="4428201E" w16cex:dateUtc="2026-03-02T23:42:00Z"/>
  <w16cex:commentExtensible w16cex:durableId="29F347E5" w16cex:dateUtc="2026-03-02T23:44:00Z"/>
  <w16cex:commentExtensible w16cex:durableId="58FC7E4E" w16cex:dateUtc="2026-03-02T19:34:00Z"/>
  <w16cex:commentExtensible w16cex:durableId="45E775DE" w16cex:dateUtc="2026-03-02T19:34:00Z"/>
  <w16cex:commentExtensible w16cex:durableId="46D2EAA6" w16cex:dateUtc="2026-03-02T19:35:00Z"/>
  <w16cex:commentExtensible w16cex:durableId="31B619E3" w16cex:dateUtc="2026-03-02T23:42:00Z"/>
  <w16cex:commentExtensible w16cex:durableId="6C4A6649" w16cex:dateUtc="2026-03-02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8ADD32" w16cid:durableId="439E4490"/>
  <w16cid:commentId w16cid:paraId="017485EC" w16cid:durableId="11EA4F02"/>
  <w16cid:commentId w16cid:paraId="0E2DE3D5" w16cid:durableId="05A3978A"/>
  <w16cid:commentId w16cid:paraId="62B33A1F" w16cid:durableId="0150C344"/>
  <w16cid:commentId w16cid:paraId="57214085" w16cid:durableId="6D6E2E8D"/>
  <w16cid:commentId w16cid:paraId="6F1BEE58" w16cid:durableId="4428201E"/>
  <w16cid:commentId w16cid:paraId="24768157" w16cid:durableId="29F347E5"/>
  <w16cid:commentId w16cid:paraId="5F408B3F" w16cid:durableId="58FC7E4E"/>
  <w16cid:commentId w16cid:paraId="159F7BC5" w16cid:durableId="45E775DE"/>
  <w16cid:commentId w16cid:paraId="61A108D7" w16cid:durableId="46D2EAA6"/>
  <w16cid:commentId w16cid:paraId="248AA9B9" w16cid:durableId="31B619E3"/>
  <w16cid:commentId w16cid:paraId="0EA5D613" w16cid:durableId="6C4A6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1649" w14:textId="77777777" w:rsidR="0077540A" w:rsidRDefault="0077540A">
      <w:r>
        <w:separator/>
      </w:r>
    </w:p>
  </w:endnote>
  <w:endnote w:type="continuationSeparator" w:id="0">
    <w:p w14:paraId="3CB70E89" w14:textId="77777777" w:rsidR="0077540A" w:rsidRDefault="0077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altName w:val="MS Gothic"/>
    <w:charset w:val="4E"/>
    <w:family w:val="auto"/>
    <w:pitch w:val="variable"/>
    <w:sig w:usb0="00000001" w:usb1="00000000" w:usb2="01000407"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E507" w14:textId="77777777" w:rsidR="001F69D9" w:rsidRDefault="008226AD" w:rsidP="0069704A">
    <w:pPr>
      <w:pStyle w:val="Footer"/>
      <w:jc w:val="right"/>
      <w:rPr>
        <w:rFonts w:ascii="Calibri" w:hAnsi="Calibri" w:cs="Calibri"/>
        <w:sz w:val="16"/>
      </w:rPr>
    </w:pPr>
    <w:r>
      <w:rPr>
        <w:rFonts w:ascii="Calibri" w:hAnsi="Calibri" w:cs="Calibri"/>
        <w:sz w:val="16"/>
      </w:rPr>
      <w:fldChar w:fldCharType="begin"/>
    </w:r>
    <w:r>
      <w:rPr>
        <w:rFonts w:ascii="Calibri" w:hAnsi="Calibri" w:cs="Calibri"/>
        <w:sz w:val="16"/>
      </w:rPr>
      <w:instrText xml:space="preserve"> PAGE \* Arabic \* MERGEFORMAT </w:instrText>
    </w:r>
    <w:r>
      <w:rPr>
        <w:rFonts w:ascii="Calibri" w:hAnsi="Calibri" w:cs="Calibri"/>
        <w:sz w:val="16"/>
      </w:rPr>
      <w:fldChar w:fldCharType="separate"/>
    </w:r>
    <w:r>
      <w:rPr>
        <w:rFonts w:ascii="Calibri" w:hAnsi="Calibri" w:cs="Calibri"/>
        <w:noProof/>
        <w:sz w:val="16"/>
      </w:rPr>
      <w:t>10</w:t>
    </w:r>
    <w:r>
      <w:rPr>
        <w:rFonts w:ascii="Calibri" w:hAnsi="Calibri" w:cs="Calibri"/>
        <w:sz w:val="16"/>
      </w:rPr>
      <w:fldChar w:fldCharType="end"/>
    </w:r>
  </w:p>
  <w:p w14:paraId="0303EDA7" w14:textId="77777777" w:rsidR="00B967E5" w:rsidRDefault="00B967E5" w:rsidP="005F3E7A">
    <w:pPr>
      <w:pStyle w:val="Footer"/>
      <w:rPr>
        <w:rFonts w:ascii="Calibri" w:hAnsi="Calibri" w:cs="Calibri"/>
        <w:sz w:val="16"/>
      </w:rPr>
    </w:pPr>
  </w:p>
  <w:p w14:paraId="48C0C44F" w14:textId="77777777" w:rsidR="007624B2" w:rsidRPr="008226AD" w:rsidRDefault="007624B2" w:rsidP="001D5556">
    <w:pPr>
      <w:pStyle w:val="Footer"/>
      <w:rPr>
        <w:rFonts w:ascii="Calibri" w:hAnsi="Calibri" w:cs="Calibr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FC47" w14:textId="77777777" w:rsidR="00B967E5" w:rsidRDefault="00066CA8" w:rsidP="00C479DB">
    <w:pPr>
      <w:pStyle w:val="Footer"/>
      <w:jc w:val="right"/>
      <w:rPr>
        <w:rFonts w:ascii="Calibri" w:hAnsi="Calibri" w:cs="Calibri"/>
        <w:sz w:val="16"/>
      </w:rPr>
    </w:pPr>
    <w:r>
      <w:rPr>
        <w:rFonts w:ascii="Calibri" w:hAnsi="Calibri" w:cs="Calibri"/>
        <w:sz w:val="16"/>
      </w:rPr>
      <w:fldChar w:fldCharType="begin"/>
    </w:r>
    <w:r>
      <w:rPr>
        <w:rFonts w:ascii="Calibri" w:hAnsi="Calibri" w:cs="Calibri"/>
        <w:sz w:val="16"/>
      </w:rPr>
      <w:instrText xml:space="preserve"> PAGE \* Arabic \* MERGEFORMAT </w:instrText>
    </w:r>
    <w:r>
      <w:rPr>
        <w:rFonts w:ascii="Calibri" w:hAnsi="Calibri" w:cs="Calibri"/>
        <w:sz w:val="16"/>
      </w:rPr>
      <w:fldChar w:fldCharType="separate"/>
    </w:r>
    <w:r>
      <w:rPr>
        <w:rFonts w:ascii="Calibri" w:hAnsi="Calibri" w:cs="Calibri"/>
        <w:noProof/>
        <w:sz w:val="16"/>
      </w:rPr>
      <w:t>3</w:t>
    </w:r>
    <w:r>
      <w:rPr>
        <w:rFonts w:ascii="Calibri" w:hAnsi="Calibri" w:cs="Calibr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1AEA" w14:textId="77777777" w:rsidR="0077540A" w:rsidRDefault="0077540A">
      <w:r>
        <w:separator/>
      </w:r>
    </w:p>
  </w:footnote>
  <w:footnote w:type="continuationSeparator" w:id="0">
    <w:p w14:paraId="119A56BD" w14:textId="77777777" w:rsidR="0077540A" w:rsidRDefault="00775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D693" w14:textId="77777777" w:rsidR="002F7AB3" w:rsidRPr="002F7AB3" w:rsidRDefault="002F7AB3" w:rsidP="005123F5">
    <w:pPr>
      <w:pStyle w:val="Header"/>
      <w:jc w:val="center"/>
      <w:rPr>
        <w:rFonts w:ascii="Book Antiqua" w:hAnsi="Book Antiqua"/>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E8C"/>
    <w:multiLevelType w:val="hybridMultilevel"/>
    <w:tmpl w:val="C1E63A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719C0"/>
    <w:multiLevelType w:val="hybridMultilevel"/>
    <w:tmpl w:val="E25C7C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028FF"/>
    <w:multiLevelType w:val="hybridMultilevel"/>
    <w:tmpl w:val="AD30B942"/>
    <w:lvl w:ilvl="0" w:tplc="B06E08B2">
      <w:start w:val="1"/>
      <w:numFmt w:val="upperRoman"/>
      <w:lvlText w:val="%1."/>
      <w:lvlJc w:val="left"/>
      <w:pPr>
        <w:tabs>
          <w:tab w:val="num" w:pos="1080"/>
        </w:tabs>
        <w:ind w:left="1080" w:hanging="720"/>
      </w:pPr>
      <w:rPr>
        <w:rFonts w:hint="default"/>
      </w:rPr>
    </w:lvl>
    <w:lvl w:ilvl="1" w:tplc="B7A4C242">
      <w:start w:val="1"/>
      <w:numFmt w:val="lowerLetter"/>
      <w:lvlText w:val="%2)"/>
      <w:lvlJc w:val="left"/>
      <w:pPr>
        <w:tabs>
          <w:tab w:val="num" w:pos="1785"/>
        </w:tabs>
        <w:ind w:left="1785" w:hanging="705"/>
      </w:pPr>
      <w:rPr>
        <w:rFonts w:cs="Courier New" w:hint="default"/>
        <w:color w:val="auto"/>
        <w:sz w:val="22"/>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2DEA281A"/>
    <w:multiLevelType w:val="hybridMultilevel"/>
    <w:tmpl w:val="4A52820C"/>
    <w:lvl w:ilvl="0" w:tplc="B06E08B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ECC06EA"/>
    <w:multiLevelType w:val="hybridMultilevel"/>
    <w:tmpl w:val="F4D898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FE6F6B"/>
    <w:multiLevelType w:val="hybridMultilevel"/>
    <w:tmpl w:val="174E8A3E"/>
    <w:lvl w:ilvl="0" w:tplc="F02EC31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773857"/>
    <w:multiLevelType w:val="hybridMultilevel"/>
    <w:tmpl w:val="7F7664E6"/>
    <w:lvl w:ilvl="0" w:tplc="3EFE075A">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B454EE"/>
    <w:multiLevelType w:val="hybridMultilevel"/>
    <w:tmpl w:val="64F22F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2A32EC"/>
    <w:multiLevelType w:val="hybridMultilevel"/>
    <w:tmpl w:val="57CA3DC2"/>
    <w:lvl w:ilvl="0" w:tplc="BAB42C14">
      <w:start w:val="1"/>
      <w:numFmt w:val="lowerLetter"/>
      <w:lvlText w:val="%1)"/>
      <w:lvlJc w:val="left"/>
      <w:pPr>
        <w:ind w:left="930" w:hanging="57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CC6D28"/>
    <w:multiLevelType w:val="hybridMultilevel"/>
    <w:tmpl w:val="DC2AC3C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C37FD3"/>
    <w:multiLevelType w:val="hybridMultilevel"/>
    <w:tmpl w:val="173A7DFA"/>
    <w:lvl w:ilvl="0" w:tplc="9C96AEC0">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63B485EA">
      <w:start w:val="1"/>
      <w:numFmt w:val="lowerRoman"/>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C115C5"/>
    <w:multiLevelType w:val="hybridMultilevel"/>
    <w:tmpl w:val="D6922958"/>
    <w:lvl w:ilvl="0" w:tplc="B7A4C242">
      <w:start w:val="1"/>
      <w:numFmt w:val="lowerLetter"/>
      <w:lvlText w:val="%1)"/>
      <w:lvlJc w:val="left"/>
      <w:pPr>
        <w:tabs>
          <w:tab w:val="num" w:pos="1785"/>
        </w:tabs>
        <w:ind w:left="1785" w:hanging="705"/>
      </w:pPr>
      <w:rPr>
        <w:rFonts w:cs="Courier New" w:hint="default"/>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14B711F"/>
    <w:multiLevelType w:val="hybridMultilevel"/>
    <w:tmpl w:val="FF34366C"/>
    <w:lvl w:ilvl="0" w:tplc="EBC6C90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5863FB"/>
    <w:multiLevelType w:val="hybridMultilevel"/>
    <w:tmpl w:val="62B099CC"/>
    <w:lvl w:ilvl="0" w:tplc="3482A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B9580F"/>
    <w:multiLevelType w:val="hybridMultilevel"/>
    <w:tmpl w:val="1A0C8C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332923"/>
    <w:multiLevelType w:val="hybridMultilevel"/>
    <w:tmpl w:val="DD42D6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A07716"/>
    <w:multiLevelType w:val="hybridMultilevel"/>
    <w:tmpl w:val="62328BF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B92AD9"/>
    <w:multiLevelType w:val="hybridMultilevel"/>
    <w:tmpl w:val="636C93B0"/>
    <w:lvl w:ilvl="0" w:tplc="B7A4C242">
      <w:start w:val="1"/>
      <w:numFmt w:val="lowerLetter"/>
      <w:lvlText w:val="%1)"/>
      <w:lvlJc w:val="left"/>
      <w:pPr>
        <w:tabs>
          <w:tab w:val="num" w:pos="1785"/>
        </w:tabs>
        <w:ind w:left="1785" w:hanging="705"/>
      </w:pPr>
      <w:rPr>
        <w:rFonts w:cs="Courier New" w:hint="default"/>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80A379F"/>
    <w:multiLevelType w:val="multilevel"/>
    <w:tmpl w:val="C854D8EC"/>
    <w:lvl w:ilvl="0">
      <w:start w:val="1"/>
      <w:numFmt w:val="upperRoman"/>
      <w:lvlText w:val="%1."/>
      <w:lvlJc w:val="left"/>
      <w:pPr>
        <w:tabs>
          <w:tab w:val="num" w:pos="720"/>
        </w:tabs>
        <w:ind w:left="720" w:hanging="720"/>
      </w:pPr>
      <w:rPr>
        <w:rFonts w:ascii="Book Antiqua" w:hAnsi="Book Antiqua" w:cs="Times New Roman" w:hint="default"/>
        <w:b w:val="0"/>
        <w:i w:val="0"/>
        <w:sz w:val="22"/>
        <w:szCs w:val="22"/>
      </w:rPr>
    </w:lvl>
    <w:lvl w:ilvl="1">
      <w:start w:val="1"/>
      <w:numFmt w:val="lowerLetter"/>
      <w:lvlText w:val="%2."/>
      <w:lvlJc w:val="left"/>
      <w:pPr>
        <w:tabs>
          <w:tab w:val="num" w:pos="720"/>
        </w:tabs>
        <w:ind w:left="720" w:hanging="720"/>
      </w:pPr>
      <w:rPr>
        <w:rFonts w:hint="default"/>
        <w:b w:val="0"/>
        <w:i w:val="0"/>
        <w:sz w:val="22"/>
        <w:szCs w:val="22"/>
      </w:rPr>
    </w:lvl>
    <w:lvl w:ilvl="2">
      <w:start w:val="1"/>
      <w:numFmt w:val="lowerRoman"/>
      <w:lvlText w:val="%3)"/>
      <w:lvlJc w:val="left"/>
      <w:pPr>
        <w:tabs>
          <w:tab w:val="num" w:pos="1080"/>
        </w:tabs>
        <w:ind w:left="1080" w:hanging="360"/>
      </w:pPr>
      <w:rPr>
        <w:rFonts w:cs="Times New Roman" w:hint="default"/>
      </w:rPr>
    </w:lvl>
    <w:lvl w:ilvl="3">
      <w:start w:val="1"/>
      <w:numFmt w:val="lowerRoman"/>
      <w:lvlText w:val="(%4)"/>
      <w:lvlJc w:val="left"/>
      <w:pPr>
        <w:tabs>
          <w:tab w:val="num" w:pos="1440"/>
        </w:tabs>
        <w:ind w:left="1440" w:hanging="360"/>
      </w:pPr>
      <w:rPr>
        <w:rFonts w:hint="default"/>
        <w:lang w:val="en-US"/>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8167BFC"/>
    <w:multiLevelType w:val="multilevel"/>
    <w:tmpl w:val="C854D8EC"/>
    <w:lvl w:ilvl="0">
      <w:start w:val="1"/>
      <w:numFmt w:val="upperRoman"/>
      <w:lvlText w:val="%1."/>
      <w:lvlJc w:val="left"/>
      <w:pPr>
        <w:tabs>
          <w:tab w:val="num" w:pos="720"/>
        </w:tabs>
        <w:ind w:left="720" w:hanging="720"/>
      </w:pPr>
      <w:rPr>
        <w:rFonts w:ascii="Book Antiqua" w:hAnsi="Book Antiqua" w:cs="Times New Roman" w:hint="default"/>
        <w:b w:val="0"/>
        <w:i w:val="0"/>
        <w:sz w:val="22"/>
        <w:szCs w:val="22"/>
      </w:rPr>
    </w:lvl>
    <w:lvl w:ilvl="1">
      <w:start w:val="1"/>
      <w:numFmt w:val="lowerLetter"/>
      <w:lvlText w:val="%2."/>
      <w:lvlJc w:val="left"/>
      <w:pPr>
        <w:tabs>
          <w:tab w:val="num" w:pos="720"/>
        </w:tabs>
        <w:ind w:left="720" w:hanging="720"/>
      </w:pPr>
      <w:rPr>
        <w:rFonts w:hint="default"/>
        <w:b w:val="0"/>
        <w:i w:val="0"/>
        <w:sz w:val="22"/>
        <w:szCs w:val="22"/>
      </w:rPr>
    </w:lvl>
    <w:lvl w:ilvl="2">
      <w:start w:val="1"/>
      <w:numFmt w:val="lowerRoman"/>
      <w:lvlText w:val="%3)"/>
      <w:lvlJc w:val="left"/>
      <w:pPr>
        <w:tabs>
          <w:tab w:val="num" w:pos="1080"/>
        </w:tabs>
        <w:ind w:left="1080" w:hanging="360"/>
      </w:pPr>
      <w:rPr>
        <w:rFonts w:cs="Times New Roman" w:hint="default"/>
      </w:rPr>
    </w:lvl>
    <w:lvl w:ilvl="3">
      <w:start w:val="1"/>
      <w:numFmt w:val="lowerRoman"/>
      <w:lvlText w:val="(%4)"/>
      <w:lvlJc w:val="left"/>
      <w:pPr>
        <w:tabs>
          <w:tab w:val="num" w:pos="1440"/>
        </w:tabs>
        <w:ind w:left="1440" w:hanging="360"/>
      </w:pPr>
      <w:rPr>
        <w:rFonts w:hint="default"/>
        <w:lang w:val="en-US"/>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C806B52"/>
    <w:multiLevelType w:val="hybridMultilevel"/>
    <w:tmpl w:val="D4CE9004"/>
    <w:lvl w:ilvl="0" w:tplc="EBC6C90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1E1A4C"/>
    <w:multiLevelType w:val="hybridMultilevel"/>
    <w:tmpl w:val="8B8631B4"/>
    <w:lvl w:ilvl="0" w:tplc="472CEEDC">
      <w:start w:val="1"/>
      <w:numFmt w:val="lowerLetter"/>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75738D"/>
    <w:multiLevelType w:val="hybridMultilevel"/>
    <w:tmpl w:val="F006D4F4"/>
    <w:lvl w:ilvl="0" w:tplc="37C26058">
      <w:start w:val="1"/>
      <w:numFmt w:val="lowerLetter"/>
      <w:lvlText w:val="%1)"/>
      <w:lvlJc w:val="left"/>
      <w:pPr>
        <w:tabs>
          <w:tab w:val="num" w:pos="720"/>
        </w:tabs>
        <w:ind w:left="720" w:hanging="360"/>
      </w:pPr>
      <w:rPr>
        <w:rFonts w:hint="default"/>
        <w:color w:val="auto"/>
      </w:rPr>
    </w:lvl>
    <w:lvl w:ilvl="1" w:tplc="1BF28094">
      <w:start w:val="1"/>
      <w:numFmt w:val="lowerRoman"/>
      <w:lvlText w:val="(%2)"/>
      <w:lvlJc w:val="left"/>
      <w:pPr>
        <w:tabs>
          <w:tab w:val="num" w:pos="1800"/>
        </w:tabs>
        <w:ind w:left="1800" w:hanging="720"/>
      </w:pPr>
      <w:rPr>
        <w:rFonts w:cs="Times New Roman"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5AE7EEC"/>
    <w:multiLevelType w:val="hybridMultilevel"/>
    <w:tmpl w:val="9DF430C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F902CFC"/>
    <w:multiLevelType w:val="hybridMultilevel"/>
    <w:tmpl w:val="E9F05CFC"/>
    <w:lvl w:ilvl="0" w:tplc="C74090FE">
      <w:start w:val="1"/>
      <w:numFmt w:val="lowerLetter"/>
      <w:lvlText w:val="%1)"/>
      <w:lvlJc w:val="left"/>
      <w:pPr>
        <w:ind w:left="720" w:hanging="360"/>
      </w:pPr>
      <w:rPr>
        <w:lang w:val="en-U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D63E66"/>
    <w:multiLevelType w:val="hybridMultilevel"/>
    <w:tmpl w:val="30904B0E"/>
    <w:lvl w:ilvl="0" w:tplc="13642A1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531822"/>
    <w:multiLevelType w:val="hybridMultilevel"/>
    <w:tmpl w:val="07EEAD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6E2C03"/>
    <w:multiLevelType w:val="hybridMultilevel"/>
    <w:tmpl w:val="636C93B0"/>
    <w:lvl w:ilvl="0" w:tplc="B7A4C242">
      <w:start w:val="1"/>
      <w:numFmt w:val="lowerLetter"/>
      <w:lvlText w:val="%1)"/>
      <w:lvlJc w:val="left"/>
      <w:pPr>
        <w:tabs>
          <w:tab w:val="num" w:pos="1785"/>
        </w:tabs>
        <w:ind w:left="1785" w:hanging="705"/>
      </w:pPr>
      <w:rPr>
        <w:rFonts w:cs="Courier New" w:hint="default"/>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E3F79B3"/>
    <w:multiLevelType w:val="hybridMultilevel"/>
    <w:tmpl w:val="1A0C8C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0162980">
    <w:abstractNumId w:val="2"/>
  </w:num>
  <w:num w:numId="2" w16cid:durableId="980622350">
    <w:abstractNumId w:val="23"/>
  </w:num>
  <w:num w:numId="3" w16cid:durableId="28452272">
    <w:abstractNumId w:val="22"/>
  </w:num>
  <w:num w:numId="4" w16cid:durableId="496505083">
    <w:abstractNumId w:val="3"/>
  </w:num>
  <w:num w:numId="5" w16cid:durableId="840582688">
    <w:abstractNumId w:val="11"/>
  </w:num>
  <w:num w:numId="6" w16cid:durableId="255791772">
    <w:abstractNumId w:val="27"/>
  </w:num>
  <w:num w:numId="7" w16cid:durableId="275598070">
    <w:abstractNumId w:val="8"/>
  </w:num>
  <w:num w:numId="8" w16cid:durableId="2029601096">
    <w:abstractNumId w:val="17"/>
  </w:num>
  <w:num w:numId="9" w16cid:durableId="502404854">
    <w:abstractNumId w:val="20"/>
  </w:num>
  <w:num w:numId="10" w16cid:durableId="132523843">
    <w:abstractNumId w:val="15"/>
  </w:num>
  <w:num w:numId="11" w16cid:durableId="1573539536">
    <w:abstractNumId w:val="7"/>
  </w:num>
  <w:num w:numId="12" w16cid:durableId="1456368265">
    <w:abstractNumId w:val="12"/>
  </w:num>
  <w:num w:numId="13" w16cid:durableId="1700011822">
    <w:abstractNumId w:val="21"/>
  </w:num>
  <w:num w:numId="14" w16cid:durableId="1795174416">
    <w:abstractNumId w:val="24"/>
  </w:num>
  <w:num w:numId="15" w16cid:durableId="199784597">
    <w:abstractNumId w:val="26"/>
  </w:num>
  <w:num w:numId="16" w16cid:durableId="1321421229">
    <w:abstractNumId w:val="28"/>
  </w:num>
  <w:num w:numId="17" w16cid:durableId="1225992241">
    <w:abstractNumId w:val="14"/>
  </w:num>
  <w:num w:numId="18" w16cid:durableId="495808279">
    <w:abstractNumId w:val="1"/>
  </w:num>
  <w:num w:numId="19" w16cid:durableId="654069609">
    <w:abstractNumId w:val="5"/>
  </w:num>
  <w:num w:numId="20" w16cid:durableId="581792465">
    <w:abstractNumId w:val="4"/>
  </w:num>
  <w:num w:numId="21" w16cid:durableId="382631875">
    <w:abstractNumId w:val="13"/>
  </w:num>
  <w:num w:numId="22" w16cid:durableId="1050574723">
    <w:abstractNumId w:val="16"/>
  </w:num>
  <w:num w:numId="23" w16cid:durableId="618686120">
    <w:abstractNumId w:val="25"/>
  </w:num>
  <w:num w:numId="24" w16cid:durableId="2073187754">
    <w:abstractNumId w:val="19"/>
  </w:num>
  <w:num w:numId="25" w16cid:durableId="759103885">
    <w:abstractNumId w:val="0"/>
  </w:num>
  <w:num w:numId="26" w16cid:durableId="906647173">
    <w:abstractNumId w:val="6"/>
  </w:num>
  <w:num w:numId="27" w16cid:durableId="41491522">
    <w:abstractNumId w:val="9"/>
  </w:num>
  <w:num w:numId="28" w16cid:durableId="1382631305">
    <w:abstractNumId w:val="18"/>
  </w:num>
  <w:num w:numId="29" w16cid:durableId="5752901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z, Jose Antonio">
    <w15:presenceInfo w15:providerId="AD" w15:userId="S::jdiaz3@prologis.com::43921bd0-fc97-4a62-b421-357f5cf1b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ZNIybGw8HFY8+steAlj06FleXE4+45uivJn1OLqeHGEfbP5l9JjzZvxv47clfoJb4upWV0Qko+eYzjZolZBIg==" w:salt="mRKCKa1+Ugi4lzFAbFikEg=="/>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A"/>
    <w:rsid w:val="00001AA8"/>
    <w:rsid w:val="00007C1F"/>
    <w:rsid w:val="00016467"/>
    <w:rsid w:val="00016E16"/>
    <w:rsid w:val="000237AC"/>
    <w:rsid w:val="00035F71"/>
    <w:rsid w:val="0003689F"/>
    <w:rsid w:val="0003768F"/>
    <w:rsid w:val="00043C72"/>
    <w:rsid w:val="00045C83"/>
    <w:rsid w:val="00053232"/>
    <w:rsid w:val="00054850"/>
    <w:rsid w:val="00054E42"/>
    <w:rsid w:val="00055C79"/>
    <w:rsid w:val="00063B58"/>
    <w:rsid w:val="00066CA8"/>
    <w:rsid w:val="0007074B"/>
    <w:rsid w:val="000753F6"/>
    <w:rsid w:val="00076C17"/>
    <w:rsid w:val="000A008D"/>
    <w:rsid w:val="000A4FFF"/>
    <w:rsid w:val="000A6FD4"/>
    <w:rsid w:val="000A7E18"/>
    <w:rsid w:val="000B1DE6"/>
    <w:rsid w:val="000B6A89"/>
    <w:rsid w:val="000C20DD"/>
    <w:rsid w:val="000C4DE9"/>
    <w:rsid w:val="000C7CCF"/>
    <w:rsid w:val="000D5BAF"/>
    <w:rsid w:val="000D6D7C"/>
    <w:rsid w:val="000E635B"/>
    <w:rsid w:val="000F7E0B"/>
    <w:rsid w:val="0010142A"/>
    <w:rsid w:val="00102735"/>
    <w:rsid w:val="0011010F"/>
    <w:rsid w:val="0011181D"/>
    <w:rsid w:val="00111C35"/>
    <w:rsid w:val="00113046"/>
    <w:rsid w:val="001135AB"/>
    <w:rsid w:val="00125CEE"/>
    <w:rsid w:val="001341E3"/>
    <w:rsid w:val="001471FD"/>
    <w:rsid w:val="00147952"/>
    <w:rsid w:val="001611E4"/>
    <w:rsid w:val="0016283C"/>
    <w:rsid w:val="00167985"/>
    <w:rsid w:val="00167B84"/>
    <w:rsid w:val="00174106"/>
    <w:rsid w:val="00174E93"/>
    <w:rsid w:val="001757A2"/>
    <w:rsid w:val="00182474"/>
    <w:rsid w:val="00193047"/>
    <w:rsid w:val="0019436B"/>
    <w:rsid w:val="001A2B54"/>
    <w:rsid w:val="001A41A4"/>
    <w:rsid w:val="001A69CF"/>
    <w:rsid w:val="001A7EC2"/>
    <w:rsid w:val="001B1A4D"/>
    <w:rsid w:val="001B720C"/>
    <w:rsid w:val="001C5245"/>
    <w:rsid w:val="001C6419"/>
    <w:rsid w:val="001D027A"/>
    <w:rsid w:val="001D5556"/>
    <w:rsid w:val="001E19A8"/>
    <w:rsid w:val="001E3220"/>
    <w:rsid w:val="001E67D3"/>
    <w:rsid w:val="001E78BD"/>
    <w:rsid w:val="001F2165"/>
    <w:rsid w:val="001F69D9"/>
    <w:rsid w:val="002036F4"/>
    <w:rsid w:val="00223E38"/>
    <w:rsid w:val="00224EC9"/>
    <w:rsid w:val="00227D77"/>
    <w:rsid w:val="0025652C"/>
    <w:rsid w:val="00264572"/>
    <w:rsid w:val="002725B8"/>
    <w:rsid w:val="00272922"/>
    <w:rsid w:val="00273A78"/>
    <w:rsid w:val="00276630"/>
    <w:rsid w:val="00283ADC"/>
    <w:rsid w:val="00284306"/>
    <w:rsid w:val="002A3C15"/>
    <w:rsid w:val="002B17DC"/>
    <w:rsid w:val="002B2513"/>
    <w:rsid w:val="002B46BD"/>
    <w:rsid w:val="002B6EA5"/>
    <w:rsid w:val="002C5570"/>
    <w:rsid w:val="002D139C"/>
    <w:rsid w:val="002D2113"/>
    <w:rsid w:val="002E2E36"/>
    <w:rsid w:val="002F5462"/>
    <w:rsid w:val="002F7AB3"/>
    <w:rsid w:val="0030344B"/>
    <w:rsid w:val="003040FD"/>
    <w:rsid w:val="00307A1D"/>
    <w:rsid w:val="00314728"/>
    <w:rsid w:val="00317BDE"/>
    <w:rsid w:val="00320C45"/>
    <w:rsid w:val="00321C38"/>
    <w:rsid w:val="003337F9"/>
    <w:rsid w:val="00345122"/>
    <w:rsid w:val="003556C1"/>
    <w:rsid w:val="00357502"/>
    <w:rsid w:val="00366610"/>
    <w:rsid w:val="00367909"/>
    <w:rsid w:val="0037327B"/>
    <w:rsid w:val="00391179"/>
    <w:rsid w:val="003923F2"/>
    <w:rsid w:val="003A42CD"/>
    <w:rsid w:val="003A67AC"/>
    <w:rsid w:val="003C1447"/>
    <w:rsid w:val="003C50B4"/>
    <w:rsid w:val="003D581F"/>
    <w:rsid w:val="003E2563"/>
    <w:rsid w:val="003E4D7F"/>
    <w:rsid w:val="003E7568"/>
    <w:rsid w:val="00403464"/>
    <w:rsid w:val="00407F41"/>
    <w:rsid w:val="00417EDE"/>
    <w:rsid w:val="00424A49"/>
    <w:rsid w:val="00426FAA"/>
    <w:rsid w:val="004309DB"/>
    <w:rsid w:val="00435DAF"/>
    <w:rsid w:val="00447B3B"/>
    <w:rsid w:val="0045405E"/>
    <w:rsid w:val="00471A8D"/>
    <w:rsid w:val="00471E94"/>
    <w:rsid w:val="00472FD7"/>
    <w:rsid w:val="00473870"/>
    <w:rsid w:val="00493918"/>
    <w:rsid w:val="00493AEE"/>
    <w:rsid w:val="004962DA"/>
    <w:rsid w:val="004B561C"/>
    <w:rsid w:val="004C699B"/>
    <w:rsid w:val="004C7958"/>
    <w:rsid w:val="004D12D8"/>
    <w:rsid w:val="004E1675"/>
    <w:rsid w:val="004E1BC5"/>
    <w:rsid w:val="004E431F"/>
    <w:rsid w:val="004F1343"/>
    <w:rsid w:val="004F1590"/>
    <w:rsid w:val="00503901"/>
    <w:rsid w:val="00503A4B"/>
    <w:rsid w:val="005042EC"/>
    <w:rsid w:val="00507206"/>
    <w:rsid w:val="005123F5"/>
    <w:rsid w:val="00514890"/>
    <w:rsid w:val="005203D4"/>
    <w:rsid w:val="00520476"/>
    <w:rsid w:val="00525319"/>
    <w:rsid w:val="005372B1"/>
    <w:rsid w:val="00563BE1"/>
    <w:rsid w:val="00566667"/>
    <w:rsid w:val="00573E46"/>
    <w:rsid w:val="00574081"/>
    <w:rsid w:val="00576BF4"/>
    <w:rsid w:val="005828B0"/>
    <w:rsid w:val="005833EE"/>
    <w:rsid w:val="0058342C"/>
    <w:rsid w:val="005861D8"/>
    <w:rsid w:val="00586F85"/>
    <w:rsid w:val="005B4FA9"/>
    <w:rsid w:val="005C2C69"/>
    <w:rsid w:val="005C5555"/>
    <w:rsid w:val="005C6CF2"/>
    <w:rsid w:val="005D393E"/>
    <w:rsid w:val="005F3E7A"/>
    <w:rsid w:val="005F5255"/>
    <w:rsid w:val="00603A64"/>
    <w:rsid w:val="00605B7E"/>
    <w:rsid w:val="00613E83"/>
    <w:rsid w:val="006167A6"/>
    <w:rsid w:val="00623F31"/>
    <w:rsid w:val="0063110B"/>
    <w:rsid w:val="00635F07"/>
    <w:rsid w:val="00635FCE"/>
    <w:rsid w:val="00642DD4"/>
    <w:rsid w:val="006449F0"/>
    <w:rsid w:val="00651164"/>
    <w:rsid w:val="006665AD"/>
    <w:rsid w:val="00667042"/>
    <w:rsid w:val="00672587"/>
    <w:rsid w:val="00672C81"/>
    <w:rsid w:val="00673788"/>
    <w:rsid w:val="00675601"/>
    <w:rsid w:val="006847DC"/>
    <w:rsid w:val="0068629E"/>
    <w:rsid w:val="006931BB"/>
    <w:rsid w:val="0069704A"/>
    <w:rsid w:val="006A0DE5"/>
    <w:rsid w:val="006A0F45"/>
    <w:rsid w:val="006A7211"/>
    <w:rsid w:val="006B4A5A"/>
    <w:rsid w:val="006D0DAF"/>
    <w:rsid w:val="006D14CE"/>
    <w:rsid w:val="006E1DDE"/>
    <w:rsid w:val="006E5E2D"/>
    <w:rsid w:val="006F5B49"/>
    <w:rsid w:val="00702936"/>
    <w:rsid w:val="00704C91"/>
    <w:rsid w:val="00705CF2"/>
    <w:rsid w:val="0071087B"/>
    <w:rsid w:val="007133A1"/>
    <w:rsid w:val="0071574A"/>
    <w:rsid w:val="00726867"/>
    <w:rsid w:val="00726D20"/>
    <w:rsid w:val="00732F9C"/>
    <w:rsid w:val="00734622"/>
    <w:rsid w:val="00751B25"/>
    <w:rsid w:val="00752193"/>
    <w:rsid w:val="007624B2"/>
    <w:rsid w:val="00766A33"/>
    <w:rsid w:val="0077540A"/>
    <w:rsid w:val="007A1395"/>
    <w:rsid w:val="007B0E55"/>
    <w:rsid w:val="007B63C2"/>
    <w:rsid w:val="007D077C"/>
    <w:rsid w:val="007D14B0"/>
    <w:rsid w:val="007D6355"/>
    <w:rsid w:val="007E212F"/>
    <w:rsid w:val="007E2DD6"/>
    <w:rsid w:val="007E39A7"/>
    <w:rsid w:val="007F66B7"/>
    <w:rsid w:val="0080060E"/>
    <w:rsid w:val="008008FB"/>
    <w:rsid w:val="00806CA3"/>
    <w:rsid w:val="00807713"/>
    <w:rsid w:val="00810D9F"/>
    <w:rsid w:val="00811357"/>
    <w:rsid w:val="00815210"/>
    <w:rsid w:val="00816BED"/>
    <w:rsid w:val="0082253B"/>
    <w:rsid w:val="008226AD"/>
    <w:rsid w:val="00836CBB"/>
    <w:rsid w:val="00846FA5"/>
    <w:rsid w:val="00853109"/>
    <w:rsid w:val="00854224"/>
    <w:rsid w:val="00855414"/>
    <w:rsid w:val="00861161"/>
    <w:rsid w:val="00863A7B"/>
    <w:rsid w:val="0087704E"/>
    <w:rsid w:val="0088397F"/>
    <w:rsid w:val="0089692F"/>
    <w:rsid w:val="008A1C99"/>
    <w:rsid w:val="008C2124"/>
    <w:rsid w:val="008C5EDE"/>
    <w:rsid w:val="008D3015"/>
    <w:rsid w:val="008D6E5F"/>
    <w:rsid w:val="008E3A4B"/>
    <w:rsid w:val="008E69BE"/>
    <w:rsid w:val="008F4C3D"/>
    <w:rsid w:val="00905C23"/>
    <w:rsid w:val="009222CE"/>
    <w:rsid w:val="00923AB4"/>
    <w:rsid w:val="00923D9C"/>
    <w:rsid w:val="009301BA"/>
    <w:rsid w:val="009332B5"/>
    <w:rsid w:val="00934D9D"/>
    <w:rsid w:val="009374D0"/>
    <w:rsid w:val="00944D07"/>
    <w:rsid w:val="00950196"/>
    <w:rsid w:val="00951EF6"/>
    <w:rsid w:val="0095335A"/>
    <w:rsid w:val="009613EA"/>
    <w:rsid w:val="00966A04"/>
    <w:rsid w:val="00966CA7"/>
    <w:rsid w:val="00975C52"/>
    <w:rsid w:val="00981284"/>
    <w:rsid w:val="009905E4"/>
    <w:rsid w:val="009A140C"/>
    <w:rsid w:val="009A3303"/>
    <w:rsid w:val="009A7B71"/>
    <w:rsid w:val="009B0F47"/>
    <w:rsid w:val="009B63A8"/>
    <w:rsid w:val="009B66D1"/>
    <w:rsid w:val="009C40E6"/>
    <w:rsid w:val="00A030C8"/>
    <w:rsid w:val="00A12F47"/>
    <w:rsid w:val="00A15B32"/>
    <w:rsid w:val="00A16A5A"/>
    <w:rsid w:val="00A16ABF"/>
    <w:rsid w:val="00A20D5B"/>
    <w:rsid w:val="00A23E69"/>
    <w:rsid w:val="00A26812"/>
    <w:rsid w:val="00A3636A"/>
    <w:rsid w:val="00A406E1"/>
    <w:rsid w:val="00A45D23"/>
    <w:rsid w:val="00A610A4"/>
    <w:rsid w:val="00A61E1C"/>
    <w:rsid w:val="00A63485"/>
    <w:rsid w:val="00A63F8A"/>
    <w:rsid w:val="00A71168"/>
    <w:rsid w:val="00A770DE"/>
    <w:rsid w:val="00A8065C"/>
    <w:rsid w:val="00A84E49"/>
    <w:rsid w:val="00A865C8"/>
    <w:rsid w:val="00A9333A"/>
    <w:rsid w:val="00A93E0A"/>
    <w:rsid w:val="00A95948"/>
    <w:rsid w:val="00AA73D9"/>
    <w:rsid w:val="00AC061C"/>
    <w:rsid w:val="00AC0D8F"/>
    <w:rsid w:val="00AC338D"/>
    <w:rsid w:val="00AC540E"/>
    <w:rsid w:val="00AC77D6"/>
    <w:rsid w:val="00AD0776"/>
    <w:rsid w:val="00AD52A1"/>
    <w:rsid w:val="00AD5E28"/>
    <w:rsid w:val="00AD7D40"/>
    <w:rsid w:val="00AF007F"/>
    <w:rsid w:val="00AF2790"/>
    <w:rsid w:val="00AF5C23"/>
    <w:rsid w:val="00AF6CA4"/>
    <w:rsid w:val="00B0410B"/>
    <w:rsid w:val="00B101AF"/>
    <w:rsid w:val="00B1314C"/>
    <w:rsid w:val="00B1707B"/>
    <w:rsid w:val="00B40234"/>
    <w:rsid w:val="00B46A2E"/>
    <w:rsid w:val="00B534E3"/>
    <w:rsid w:val="00B61048"/>
    <w:rsid w:val="00B655D1"/>
    <w:rsid w:val="00B67645"/>
    <w:rsid w:val="00B714B6"/>
    <w:rsid w:val="00B771EB"/>
    <w:rsid w:val="00B83EC2"/>
    <w:rsid w:val="00B84984"/>
    <w:rsid w:val="00B91B94"/>
    <w:rsid w:val="00B967E5"/>
    <w:rsid w:val="00BA00A4"/>
    <w:rsid w:val="00BA2861"/>
    <w:rsid w:val="00BA3985"/>
    <w:rsid w:val="00BA70FC"/>
    <w:rsid w:val="00BA7108"/>
    <w:rsid w:val="00BB07F9"/>
    <w:rsid w:val="00BB20FA"/>
    <w:rsid w:val="00BB76DE"/>
    <w:rsid w:val="00BC0564"/>
    <w:rsid w:val="00BC3AA5"/>
    <w:rsid w:val="00BC6EA0"/>
    <w:rsid w:val="00BD5683"/>
    <w:rsid w:val="00BF0BBE"/>
    <w:rsid w:val="00BF3594"/>
    <w:rsid w:val="00BF7AEE"/>
    <w:rsid w:val="00C006F3"/>
    <w:rsid w:val="00C07106"/>
    <w:rsid w:val="00C22BFE"/>
    <w:rsid w:val="00C4006F"/>
    <w:rsid w:val="00C453A5"/>
    <w:rsid w:val="00C479DB"/>
    <w:rsid w:val="00C56B63"/>
    <w:rsid w:val="00C5761E"/>
    <w:rsid w:val="00C6355F"/>
    <w:rsid w:val="00C7715F"/>
    <w:rsid w:val="00C82E45"/>
    <w:rsid w:val="00CA5B8C"/>
    <w:rsid w:val="00CB04B0"/>
    <w:rsid w:val="00CB0F7D"/>
    <w:rsid w:val="00CB16A5"/>
    <w:rsid w:val="00CE3F19"/>
    <w:rsid w:val="00CE7C90"/>
    <w:rsid w:val="00CF38AD"/>
    <w:rsid w:val="00CF40D5"/>
    <w:rsid w:val="00CF4CA8"/>
    <w:rsid w:val="00D109C7"/>
    <w:rsid w:val="00D1541E"/>
    <w:rsid w:val="00D35201"/>
    <w:rsid w:val="00D46540"/>
    <w:rsid w:val="00D471D4"/>
    <w:rsid w:val="00D539B3"/>
    <w:rsid w:val="00D55596"/>
    <w:rsid w:val="00D57437"/>
    <w:rsid w:val="00D60106"/>
    <w:rsid w:val="00D62A6C"/>
    <w:rsid w:val="00D64C0C"/>
    <w:rsid w:val="00D70EA0"/>
    <w:rsid w:val="00D75D0F"/>
    <w:rsid w:val="00D85356"/>
    <w:rsid w:val="00D96ED8"/>
    <w:rsid w:val="00DA32A0"/>
    <w:rsid w:val="00DC51FE"/>
    <w:rsid w:val="00DF129E"/>
    <w:rsid w:val="00DF20CC"/>
    <w:rsid w:val="00DF58E2"/>
    <w:rsid w:val="00DF5E53"/>
    <w:rsid w:val="00E035FD"/>
    <w:rsid w:val="00E24117"/>
    <w:rsid w:val="00E257FC"/>
    <w:rsid w:val="00E30E8F"/>
    <w:rsid w:val="00E3137F"/>
    <w:rsid w:val="00E3434E"/>
    <w:rsid w:val="00E40F38"/>
    <w:rsid w:val="00E50DA8"/>
    <w:rsid w:val="00E53383"/>
    <w:rsid w:val="00E536B1"/>
    <w:rsid w:val="00E57A1E"/>
    <w:rsid w:val="00E60DE3"/>
    <w:rsid w:val="00E73025"/>
    <w:rsid w:val="00E83DC1"/>
    <w:rsid w:val="00E95072"/>
    <w:rsid w:val="00EA2A34"/>
    <w:rsid w:val="00EA54DF"/>
    <w:rsid w:val="00EB5DCB"/>
    <w:rsid w:val="00EC1A85"/>
    <w:rsid w:val="00EC6222"/>
    <w:rsid w:val="00ED4D56"/>
    <w:rsid w:val="00EE3453"/>
    <w:rsid w:val="00EE75BB"/>
    <w:rsid w:val="00EF4518"/>
    <w:rsid w:val="00F0043B"/>
    <w:rsid w:val="00F034B7"/>
    <w:rsid w:val="00F04181"/>
    <w:rsid w:val="00F17A6E"/>
    <w:rsid w:val="00F20255"/>
    <w:rsid w:val="00F22A21"/>
    <w:rsid w:val="00F22F4C"/>
    <w:rsid w:val="00F27A21"/>
    <w:rsid w:val="00F313AA"/>
    <w:rsid w:val="00F3305F"/>
    <w:rsid w:val="00F363DB"/>
    <w:rsid w:val="00F36D11"/>
    <w:rsid w:val="00F37AF4"/>
    <w:rsid w:val="00F423C6"/>
    <w:rsid w:val="00F44288"/>
    <w:rsid w:val="00F50320"/>
    <w:rsid w:val="00F5456D"/>
    <w:rsid w:val="00F555F6"/>
    <w:rsid w:val="00F56600"/>
    <w:rsid w:val="00F649DD"/>
    <w:rsid w:val="00F6603D"/>
    <w:rsid w:val="00F704FE"/>
    <w:rsid w:val="00F71980"/>
    <w:rsid w:val="00F72D5A"/>
    <w:rsid w:val="00F847E0"/>
    <w:rsid w:val="00F8712C"/>
    <w:rsid w:val="00F976F5"/>
    <w:rsid w:val="00F97AB1"/>
    <w:rsid w:val="00FB0A88"/>
    <w:rsid w:val="00FB0B22"/>
    <w:rsid w:val="00FB3BFE"/>
    <w:rsid w:val="00FB4163"/>
    <w:rsid w:val="00FB53D2"/>
    <w:rsid w:val="00FC0156"/>
    <w:rsid w:val="00FC1549"/>
    <w:rsid w:val="00FC178C"/>
    <w:rsid w:val="00FD0E7F"/>
    <w:rsid w:val="00FD39A8"/>
    <w:rsid w:val="00FD77B9"/>
    <w:rsid w:val="00FE0269"/>
    <w:rsid w:val="00FE1697"/>
    <w:rsid w:val="00FE1E66"/>
    <w:rsid w:val="00FE37D1"/>
    <w:rsid w:val="00FE4505"/>
    <w:rsid w:val="00FE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497D6"/>
  <w15:chartTrackingRefBased/>
  <w15:docId w15:val="{E0859058-B69C-427F-8047-7E587E08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C"/>
    <w:rPr>
      <w:sz w:val="24"/>
      <w:szCs w:val="24"/>
      <w:lang w:val="es-ES" w:eastAsia="es-ES"/>
    </w:rPr>
  </w:style>
  <w:style w:type="character" w:default="1" w:styleId="DefaultParagraphFont">
    <w:name w:val="Default Paragraph Font"/>
    <w:aliases w:val=" Char Car Char Char Char C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CarCharCharChar">
    <w:name w:val=" Char Car Char Char Char"/>
    <w:basedOn w:val="Normal"/>
    <w:rsid w:val="00966A04"/>
    <w:pPr>
      <w:spacing w:before="60" w:after="160" w:line="240" w:lineRule="exact"/>
      <w:jc w:val="both"/>
    </w:pPr>
    <w:rPr>
      <w:rFonts w:ascii="Verdana" w:hAnsi="Verdana" w:cs="Verdana"/>
      <w:color w:val="FF00FF"/>
      <w:lang w:val="en-US" w:eastAsia="en-US"/>
    </w:rPr>
  </w:style>
  <w:style w:type="paragraph" w:customStyle="1" w:styleId="CarCar">
    <w:name w:val=" Car Car"/>
    <w:basedOn w:val="Normal"/>
    <w:rsid w:val="00BA3985"/>
    <w:pPr>
      <w:spacing w:after="160" w:line="240" w:lineRule="exact"/>
      <w:jc w:val="right"/>
    </w:pPr>
    <w:rPr>
      <w:rFonts w:ascii="Verdana" w:hAnsi="Verdana" w:cs="Arial"/>
      <w:sz w:val="20"/>
      <w:szCs w:val="21"/>
      <w:lang w:val="es-MX" w:eastAsia="en-US"/>
    </w:rPr>
  </w:style>
  <w:style w:type="paragraph" w:styleId="BodyText">
    <w:name w:val="Body Text"/>
    <w:basedOn w:val="Normal"/>
    <w:link w:val="BodyTextChar"/>
    <w:rsid w:val="00C006F3"/>
    <w:pPr>
      <w:jc w:val="both"/>
    </w:pPr>
    <w:rPr>
      <w:rFonts w:ascii="Arial" w:hAnsi="Arial"/>
      <w:sz w:val="22"/>
      <w:szCs w:val="20"/>
      <w:lang w:val="es-ES_tradnl"/>
    </w:rPr>
  </w:style>
  <w:style w:type="table" w:styleId="TableGrid">
    <w:name w:val="Table Grid"/>
    <w:basedOn w:val="TableNormal"/>
    <w:uiPriority w:val="59"/>
    <w:rsid w:val="00223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harChar">
    <w:name w:val=" Char Char Car Char Char"/>
    <w:basedOn w:val="Normal"/>
    <w:rsid w:val="00B655D1"/>
    <w:pPr>
      <w:spacing w:after="160" w:line="240" w:lineRule="exact"/>
      <w:jc w:val="right"/>
    </w:pPr>
    <w:rPr>
      <w:rFonts w:ascii="Verdana" w:hAnsi="Verdana" w:cs="Arial"/>
      <w:sz w:val="20"/>
      <w:szCs w:val="21"/>
      <w:lang w:val="es-MX" w:eastAsia="en-US"/>
    </w:rPr>
  </w:style>
  <w:style w:type="paragraph" w:styleId="Header">
    <w:name w:val="header"/>
    <w:aliases w:val="Car1 Car,Encabezado Car Car Car Car,Encabezado Car Car,Car1 Car Car"/>
    <w:basedOn w:val="Normal"/>
    <w:link w:val="HeaderChar"/>
    <w:uiPriority w:val="99"/>
    <w:rsid w:val="007133A1"/>
    <w:pPr>
      <w:tabs>
        <w:tab w:val="center" w:pos="4252"/>
        <w:tab w:val="right" w:pos="8504"/>
      </w:tabs>
    </w:pPr>
  </w:style>
  <w:style w:type="paragraph" w:styleId="Footer">
    <w:name w:val="footer"/>
    <w:basedOn w:val="Normal"/>
    <w:link w:val="FooterChar"/>
    <w:uiPriority w:val="99"/>
    <w:rsid w:val="007133A1"/>
    <w:pPr>
      <w:tabs>
        <w:tab w:val="center" w:pos="4252"/>
        <w:tab w:val="right" w:pos="8504"/>
      </w:tabs>
    </w:pPr>
  </w:style>
  <w:style w:type="paragraph" w:styleId="BalloonText">
    <w:name w:val="Balloon Text"/>
    <w:basedOn w:val="Normal"/>
    <w:semiHidden/>
    <w:rsid w:val="000237AC"/>
    <w:rPr>
      <w:rFonts w:ascii="Tahoma" w:hAnsi="Tahoma" w:cs="Tahoma"/>
      <w:sz w:val="16"/>
      <w:szCs w:val="16"/>
    </w:rPr>
  </w:style>
  <w:style w:type="paragraph" w:customStyle="1" w:styleId="CharCarCarCarCar1CarCarCar">
    <w:name w:val=" Char Car Car Car Car1 Car Car Car"/>
    <w:basedOn w:val="Normal"/>
    <w:rsid w:val="003C50B4"/>
    <w:pPr>
      <w:spacing w:after="160" w:line="240" w:lineRule="exact"/>
      <w:jc w:val="right"/>
    </w:pPr>
    <w:rPr>
      <w:rFonts w:ascii="Verdana" w:hAnsi="Verdana" w:cs="Arial"/>
      <w:sz w:val="20"/>
      <w:szCs w:val="21"/>
      <w:lang w:val="es-MX" w:eastAsia="en-US"/>
    </w:rPr>
  </w:style>
  <w:style w:type="character" w:styleId="CommentReference">
    <w:name w:val="annotation reference"/>
    <w:uiPriority w:val="99"/>
    <w:semiHidden/>
    <w:unhideWhenUsed/>
    <w:rsid w:val="008F4C3D"/>
    <w:rPr>
      <w:sz w:val="16"/>
      <w:szCs w:val="16"/>
    </w:rPr>
  </w:style>
  <w:style w:type="paragraph" w:styleId="CommentText">
    <w:name w:val="annotation text"/>
    <w:basedOn w:val="Normal"/>
    <w:link w:val="CommentTextChar"/>
    <w:uiPriority w:val="99"/>
    <w:unhideWhenUsed/>
    <w:rsid w:val="008F4C3D"/>
    <w:rPr>
      <w:sz w:val="20"/>
      <w:szCs w:val="20"/>
    </w:rPr>
  </w:style>
  <w:style w:type="character" w:customStyle="1" w:styleId="CommentTextChar">
    <w:name w:val="Comment Text Char"/>
    <w:basedOn w:val="DefaultParagraphFont"/>
    <w:link w:val="CommentText"/>
    <w:uiPriority w:val="99"/>
    <w:rsid w:val="008F4C3D"/>
  </w:style>
  <w:style w:type="paragraph" w:styleId="CommentSubject">
    <w:name w:val="annotation subject"/>
    <w:basedOn w:val="CommentText"/>
    <w:next w:val="CommentText"/>
    <w:link w:val="CommentSubjectChar"/>
    <w:uiPriority w:val="99"/>
    <w:semiHidden/>
    <w:unhideWhenUsed/>
    <w:rsid w:val="008F4C3D"/>
    <w:rPr>
      <w:b/>
      <w:bCs/>
      <w:lang w:val="x-none" w:eastAsia="x-none"/>
    </w:rPr>
  </w:style>
  <w:style w:type="character" w:customStyle="1" w:styleId="CommentSubjectChar">
    <w:name w:val="Comment Subject Char"/>
    <w:link w:val="CommentSubject"/>
    <w:uiPriority w:val="99"/>
    <w:semiHidden/>
    <w:rsid w:val="008F4C3D"/>
    <w:rPr>
      <w:b/>
      <w:bCs/>
    </w:rPr>
  </w:style>
  <w:style w:type="paragraph" w:styleId="EndnoteText">
    <w:name w:val="endnote text"/>
    <w:basedOn w:val="Normal"/>
    <w:link w:val="EndnoteTextChar"/>
    <w:uiPriority w:val="99"/>
    <w:semiHidden/>
    <w:unhideWhenUsed/>
    <w:rsid w:val="008F4C3D"/>
    <w:rPr>
      <w:sz w:val="20"/>
      <w:szCs w:val="20"/>
    </w:rPr>
  </w:style>
  <w:style w:type="character" w:customStyle="1" w:styleId="EndnoteTextChar">
    <w:name w:val="Endnote Text Char"/>
    <w:basedOn w:val="DefaultParagraphFont"/>
    <w:link w:val="EndnoteText"/>
    <w:uiPriority w:val="99"/>
    <w:semiHidden/>
    <w:rsid w:val="008F4C3D"/>
  </w:style>
  <w:style w:type="character" w:styleId="EndnoteReference">
    <w:name w:val="endnote reference"/>
    <w:uiPriority w:val="99"/>
    <w:semiHidden/>
    <w:unhideWhenUsed/>
    <w:rsid w:val="008F4C3D"/>
    <w:rPr>
      <w:vertAlign w:val="superscript"/>
    </w:rPr>
  </w:style>
  <w:style w:type="paragraph" w:styleId="FootnoteText">
    <w:name w:val="footnote text"/>
    <w:basedOn w:val="Normal"/>
    <w:link w:val="FootnoteTextChar"/>
    <w:uiPriority w:val="99"/>
    <w:semiHidden/>
    <w:unhideWhenUsed/>
    <w:rsid w:val="008F4C3D"/>
    <w:rPr>
      <w:sz w:val="20"/>
      <w:szCs w:val="20"/>
    </w:rPr>
  </w:style>
  <w:style w:type="character" w:customStyle="1" w:styleId="FootnoteTextChar">
    <w:name w:val="Footnote Text Char"/>
    <w:basedOn w:val="DefaultParagraphFont"/>
    <w:link w:val="FootnoteText"/>
    <w:uiPriority w:val="99"/>
    <w:semiHidden/>
    <w:rsid w:val="008F4C3D"/>
  </w:style>
  <w:style w:type="character" w:styleId="FootnoteReference">
    <w:name w:val="footnote reference"/>
    <w:uiPriority w:val="99"/>
    <w:semiHidden/>
    <w:unhideWhenUsed/>
    <w:rsid w:val="008F4C3D"/>
    <w:rPr>
      <w:vertAlign w:val="superscript"/>
    </w:rPr>
  </w:style>
  <w:style w:type="character" w:customStyle="1" w:styleId="FooterChar">
    <w:name w:val="Footer Char"/>
    <w:link w:val="Footer"/>
    <w:uiPriority w:val="99"/>
    <w:rsid w:val="0010142A"/>
    <w:rPr>
      <w:sz w:val="24"/>
      <w:szCs w:val="24"/>
      <w:lang w:val="es-ES" w:eastAsia="es-ES"/>
    </w:rPr>
  </w:style>
  <w:style w:type="paragraph" w:styleId="BodyTextFirstIndent">
    <w:name w:val="Body Text First Indent"/>
    <w:basedOn w:val="BodyText"/>
    <w:uiPriority w:val="99"/>
    <w:unhideWhenUsed/>
    <w:rsid w:val="00471E94"/>
    <w:pPr>
      <w:spacing w:after="120"/>
      <w:ind w:firstLine="210"/>
      <w:jc w:val="left"/>
    </w:pPr>
    <w:rPr>
      <w:rFonts w:ascii="Times New Roman" w:hAnsi="Times New Roman"/>
      <w:sz w:val="24"/>
      <w:szCs w:val="24"/>
      <w:lang w:val="es-ES"/>
    </w:rPr>
  </w:style>
  <w:style w:type="character" w:customStyle="1" w:styleId="BodyTextChar">
    <w:name w:val="Body Text Char"/>
    <w:link w:val="BodyText"/>
    <w:rsid w:val="00471E94"/>
    <w:rPr>
      <w:rFonts w:ascii="Arial" w:hAnsi="Arial"/>
      <w:sz w:val="22"/>
      <w:lang w:val="es-ES_tradnl" w:eastAsia="es-ES"/>
    </w:rPr>
  </w:style>
  <w:style w:type="character" w:customStyle="1" w:styleId="TextoindependienteprimerasangraCar">
    <w:name w:val="Texto independiente primera sangría Car"/>
    <w:basedOn w:val="BodyTextChar"/>
    <w:link w:val="BodyTextFirstIndent"/>
    <w:rsid w:val="00471E94"/>
    <w:rPr>
      <w:rFonts w:ascii="Arial" w:hAnsi="Arial"/>
      <w:sz w:val="22"/>
      <w:lang w:val="es-ES_tradnl" w:eastAsia="es-ES"/>
    </w:rPr>
  </w:style>
  <w:style w:type="paragraph" w:customStyle="1" w:styleId="Car2">
    <w:name w:val=" Car2"/>
    <w:basedOn w:val="Normal"/>
    <w:rsid w:val="00471E94"/>
    <w:pPr>
      <w:spacing w:after="160" w:line="240" w:lineRule="exact"/>
      <w:jc w:val="right"/>
    </w:pPr>
    <w:rPr>
      <w:rFonts w:ascii="Verdana" w:hAnsi="Verdana" w:cs="Arial"/>
      <w:color w:val="000000"/>
      <w:sz w:val="20"/>
      <w:szCs w:val="21"/>
      <w:lang w:val="es-MX" w:eastAsia="es-MX"/>
    </w:rPr>
  </w:style>
  <w:style w:type="character" w:customStyle="1" w:styleId="HeaderChar">
    <w:name w:val="Header Char"/>
    <w:aliases w:val="Car1 Car Char,Encabezado Car Car Car Car Char,Encabezado Car Car Char,Car1 Car Car Char"/>
    <w:link w:val="Header"/>
    <w:uiPriority w:val="99"/>
    <w:rsid w:val="00A63F8A"/>
    <w:rPr>
      <w:sz w:val="24"/>
      <w:szCs w:val="24"/>
      <w:lang w:val="es-ES" w:eastAsia="es-ES"/>
    </w:rPr>
  </w:style>
  <w:style w:type="paragraph" w:styleId="Title">
    <w:name w:val="Title"/>
    <w:basedOn w:val="Normal"/>
    <w:link w:val="TitleChar"/>
    <w:qFormat/>
    <w:rsid w:val="0089692F"/>
    <w:pPr>
      <w:tabs>
        <w:tab w:val="left" w:pos="720"/>
        <w:tab w:val="left" w:pos="1440"/>
        <w:tab w:val="left" w:pos="2160"/>
      </w:tabs>
      <w:jc w:val="center"/>
    </w:pPr>
    <w:rPr>
      <w:rFonts w:ascii="Times" w:hAnsi="Times"/>
      <w:b/>
      <w:snapToGrid w:val="0"/>
      <w:szCs w:val="20"/>
      <w:u w:val="single"/>
    </w:rPr>
  </w:style>
  <w:style w:type="character" w:customStyle="1" w:styleId="TitleChar">
    <w:name w:val="Title Char"/>
    <w:link w:val="Title"/>
    <w:rsid w:val="0089692F"/>
    <w:rPr>
      <w:rFonts w:ascii="Times" w:hAnsi="Times"/>
      <w:b/>
      <w:snapToGrid w:val="0"/>
      <w:sz w:val="24"/>
      <w:u w:val="single"/>
      <w:lang w:val="es-ES" w:eastAsia="es-ES"/>
    </w:rPr>
  </w:style>
  <w:style w:type="paragraph" w:styleId="ListParagraph">
    <w:name w:val="List Paragraph"/>
    <w:basedOn w:val="Normal"/>
    <w:uiPriority w:val="34"/>
    <w:qFormat/>
    <w:rsid w:val="0095335A"/>
    <w:pPr>
      <w:ind w:left="708"/>
    </w:pPr>
  </w:style>
  <w:style w:type="character" w:styleId="Hyperlink">
    <w:name w:val="Hyperlink"/>
    <w:uiPriority w:val="99"/>
    <w:unhideWhenUsed/>
    <w:rsid w:val="00C22BFE"/>
    <w:rPr>
      <w:color w:val="0563C1"/>
      <w:u w:val="single"/>
    </w:rPr>
  </w:style>
  <w:style w:type="paragraph" w:customStyle="1" w:styleId="Sangra3detindependiente1">
    <w:name w:val="Sangría 3 de t. independiente1"/>
    <w:rsid w:val="00C22BFE"/>
    <w:pPr>
      <w:spacing w:after="120"/>
      <w:ind w:left="283"/>
      <w:jc w:val="both"/>
    </w:pPr>
    <w:rPr>
      <w:rFonts w:eastAsia="ヒラギノ角ゴ Pro W3"/>
      <w:color w:val="000000"/>
      <w:sz w:val="16"/>
      <w:lang w:val="es-ES_tradnl" w:eastAsia="es-MX"/>
    </w:rPr>
  </w:style>
  <w:style w:type="paragraph" w:customStyle="1" w:styleId="Text">
    <w:name w:val="Text"/>
    <w:link w:val="TextCar"/>
    <w:rsid w:val="00C22BFE"/>
    <w:pPr>
      <w:spacing w:after="240"/>
    </w:pPr>
    <w:rPr>
      <w:rFonts w:eastAsia="ヒラギノ角ゴ Pro W3"/>
      <w:color w:val="000000"/>
      <w:sz w:val="24"/>
      <w:lang w:val="es-ES_tradnl" w:eastAsia="es-MX"/>
    </w:rPr>
  </w:style>
  <w:style w:type="character" w:customStyle="1" w:styleId="TextCar">
    <w:name w:val="Text Car"/>
    <w:link w:val="Text"/>
    <w:locked/>
    <w:rsid w:val="00C22BFE"/>
    <w:rPr>
      <w:rFonts w:eastAsia="ヒラギノ角ゴ Pro W3"/>
      <w:color w:val="000000"/>
      <w:sz w:val="24"/>
      <w:lang w:val="es-ES_tradnl"/>
    </w:rPr>
  </w:style>
  <w:style w:type="character" w:styleId="UnresolvedMention">
    <w:name w:val="Unresolved Mention"/>
    <w:uiPriority w:val="99"/>
    <w:semiHidden/>
    <w:unhideWhenUsed/>
    <w:rsid w:val="00C22BFE"/>
    <w:rPr>
      <w:color w:val="605E5C"/>
      <w:shd w:val="clear" w:color="auto" w:fill="E1DFDD"/>
    </w:rPr>
  </w:style>
  <w:style w:type="paragraph" w:styleId="Revision">
    <w:name w:val="Revision"/>
    <w:hidden/>
    <w:uiPriority w:val="99"/>
    <w:semiHidden/>
    <w:rsid w:val="00514890"/>
    <w:rPr>
      <w:sz w:val="24"/>
      <w:szCs w:val="24"/>
      <w:lang w:val="es-ES" w:eastAsia="es-ES"/>
    </w:rPr>
  </w:style>
  <w:style w:type="paragraph" w:styleId="NormalWeb">
    <w:name w:val="Normal (Web)"/>
    <w:basedOn w:val="Normal"/>
    <w:uiPriority w:val="99"/>
    <w:semiHidden/>
    <w:unhideWhenUsed/>
    <w:rsid w:val="006D0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1267">
      <w:bodyDiv w:val="1"/>
      <w:marLeft w:val="0"/>
      <w:marRight w:val="0"/>
      <w:marTop w:val="0"/>
      <w:marBottom w:val="0"/>
      <w:divBdr>
        <w:top w:val="none" w:sz="0" w:space="0" w:color="auto"/>
        <w:left w:val="none" w:sz="0" w:space="0" w:color="auto"/>
        <w:bottom w:val="none" w:sz="0" w:space="0" w:color="auto"/>
        <w:right w:val="none" w:sz="0" w:space="0" w:color="auto"/>
      </w:divBdr>
    </w:div>
    <w:div w:id="856969353">
      <w:bodyDiv w:val="1"/>
      <w:marLeft w:val="0"/>
      <w:marRight w:val="0"/>
      <w:marTop w:val="0"/>
      <w:marBottom w:val="0"/>
      <w:divBdr>
        <w:top w:val="none" w:sz="0" w:space="0" w:color="auto"/>
        <w:left w:val="none" w:sz="0" w:space="0" w:color="auto"/>
        <w:bottom w:val="none" w:sz="0" w:space="0" w:color="auto"/>
        <w:right w:val="none" w:sz="0" w:space="0" w:color="auto"/>
      </w:divBdr>
    </w:div>
    <w:div w:id="1125272858">
      <w:bodyDiv w:val="1"/>
      <w:marLeft w:val="0"/>
      <w:marRight w:val="0"/>
      <w:marTop w:val="0"/>
      <w:marBottom w:val="0"/>
      <w:divBdr>
        <w:top w:val="none" w:sz="0" w:space="0" w:color="auto"/>
        <w:left w:val="none" w:sz="0" w:space="0" w:color="auto"/>
        <w:bottom w:val="none" w:sz="0" w:space="0" w:color="auto"/>
        <w:right w:val="none" w:sz="0" w:space="0" w:color="auto"/>
      </w:divBdr>
    </w:div>
    <w:div w:id="1207795541">
      <w:bodyDiv w:val="1"/>
      <w:marLeft w:val="0"/>
      <w:marRight w:val="0"/>
      <w:marTop w:val="0"/>
      <w:marBottom w:val="0"/>
      <w:divBdr>
        <w:top w:val="none" w:sz="0" w:space="0" w:color="auto"/>
        <w:left w:val="none" w:sz="0" w:space="0" w:color="auto"/>
        <w:bottom w:val="none" w:sz="0" w:space="0" w:color="auto"/>
        <w:right w:val="none" w:sz="0" w:space="0" w:color="auto"/>
      </w:divBdr>
    </w:div>
    <w:div w:id="1496341548">
      <w:bodyDiv w:val="1"/>
      <w:marLeft w:val="0"/>
      <w:marRight w:val="0"/>
      <w:marTop w:val="0"/>
      <w:marBottom w:val="0"/>
      <w:divBdr>
        <w:top w:val="none" w:sz="0" w:space="0" w:color="auto"/>
        <w:left w:val="none" w:sz="0" w:space="0" w:color="auto"/>
        <w:bottom w:val="none" w:sz="0" w:space="0" w:color="auto"/>
        <w:right w:val="none" w:sz="0" w:space="0" w:color="auto"/>
      </w:divBdr>
    </w:div>
    <w:div w:id="1718820731">
      <w:bodyDiv w:val="1"/>
      <w:marLeft w:val="0"/>
      <w:marRight w:val="0"/>
      <w:marTop w:val="0"/>
      <w:marBottom w:val="0"/>
      <w:divBdr>
        <w:top w:val="none" w:sz="0" w:space="0" w:color="auto"/>
        <w:left w:val="none" w:sz="0" w:space="0" w:color="auto"/>
        <w:bottom w:val="none" w:sz="0" w:space="0" w:color="auto"/>
        <w:right w:val="none" w:sz="0" w:space="0" w:color="auto"/>
      </w:divBdr>
    </w:div>
    <w:div w:id="187310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22484-BAE6-4169-A4AD-7B2999F0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2274</Words>
  <Characters>12968</Characters>
  <Application>Microsoft Office Word</Application>
  <DocSecurity>8</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CONVENIO DE CESIÓN QUE CELEBRAN POR UNA PARTE TYCO ACQUISITION ALPHA LLC, REPRESENTADA POR [●] (EN LO SUCESIVO DENOMINADA (“TA</vt:lpstr>
      <vt:lpstr>CONVENIO DE CESIÓN QUE CELEBRAN POR UNA PARTE TYCO ACQUISITION ALPHA LLC, REPRESENTADA POR [●] (EN LO SUCESIVO DENOMINADA (“TA</vt:lpstr>
    </vt:vector>
  </TitlesOfParts>
  <Company>CSI Leasing, S de R.L. de C.V.</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CESIÓN QUE CELEBRAN POR UNA PARTE TYCO ACQUISITION ALPHA LLC, REPRESENTADA POR [●] (EN LO SUCESIVO DENOMINADA (“TA</dc:title>
  <dc:subject/>
  <dc:creator>JMACIEL</dc:creator>
  <cp:keywords/>
  <dc:description/>
  <cp:lastModifiedBy>Diaz, Jose Antonio</cp:lastModifiedBy>
  <cp:revision>6</cp:revision>
  <cp:lastPrinted>2011-12-13T16:35:00Z</cp:lastPrinted>
  <dcterms:created xsi:type="dcterms:W3CDTF">2026-03-02T18:49:00Z</dcterms:created>
  <dcterms:modified xsi:type="dcterms:W3CDTF">2026-03-02T23:45:00Z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iManageFooter">
    <vt:lpwstr>CGCAE DOC #2240630v1
TD: UI</vt:lpwstr>
  </property>
  <property fmtid="{D5CDD505-2E9C-101B-9397-08002B2CF9AE}" pid="4" name="MSIP_Label_34fe372f-dfee-4f9b-b101-6a77f0c3c3b5_Enabled">
    <vt:lpwstr>true</vt:lpwstr>
  </property>
  <property fmtid="{D5CDD505-2E9C-101B-9397-08002B2CF9AE}" pid="5" name="MSIP_Label_34fe372f-dfee-4f9b-b101-6a77f0c3c3b5_SetDate">
    <vt:lpwstr>2026-03-02T19:44:20Z</vt:lpwstr>
  </property>
  <property fmtid="{D5CDD505-2E9C-101B-9397-08002B2CF9AE}" pid="6" name="MSIP_Label_34fe372f-dfee-4f9b-b101-6a77f0c3c3b5_Method">
    <vt:lpwstr>Standard</vt:lpwstr>
  </property>
  <property fmtid="{D5CDD505-2E9C-101B-9397-08002B2CF9AE}" pid="7" name="MSIP_Label_34fe372f-dfee-4f9b-b101-6a77f0c3c3b5_Name">
    <vt:lpwstr>defa4170-0d19-0005-0002-bc88714345d2</vt:lpwstr>
  </property>
  <property fmtid="{D5CDD505-2E9C-101B-9397-08002B2CF9AE}" pid="8" name="MSIP_Label_34fe372f-dfee-4f9b-b101-6a77f0c3c3b5_SiteId">
    <vt:lpwstr>2cf835d1-453b-472b-9b90-3f6d854ad75b</vt:lpwstr>
  </property>
  <property fmtid="{D5CDD505-2E9C-101B-9397-08002B2CF9AE}" pid="9" name="MSIP_Label_34fe372f-dfee-4f9b-b101-6a77f0c3c3b5_ActionId">
    <vt:lpwstr>0632b26d-03eb-431b-9c72-388cddc8f576</vt:lpwstr>
  </property>
  <property fmtid="{D5CDD505-2E9C-101B-9397-08002B2CF9AE}" pid="10" name="MSIP_Label_34fe372f-dfee-4f9b-b101-6a77f0c3c3b5_ContentBits">
    <vt:lpwstr>0</vt:lpwstr>
  </property>
  <property fmtid="{D5CDD505-2E9C-101B-9397-08002B2CF9AE}" pid="11" name="MSIP_Label_34fe372f-dfee-4f9b-b101-6a77f0c3c3b5_Tag">
    <vt:lpwstr>10, 3, 0, 1</vt:lpwstr>
  </property>
</Properties>
</file>